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湿磨机D衬板更换项目报价单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湿磨机D衬板更换</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此项费用为完成本次</w:t>
            </w:r>
            <w:r>
              <w:rPr>
                <w:rFonts w:hint="eastAsia" w:ascii="仿宋_GB2312" w:hAnsi="仿宋_GB2312" w:eastAsia="仿宋_GB2312" w:cs="仿宋_GB2312"/>
                <w:bCs/>
                <w:color w:val="auto"/>
                <w:sz w:val="24"/>
                <w:highlight w:val="none"/>
              </w:rPr>
              <w:t>湿磨机D衬板更换</w:t>
            </w:r>
            <w:r>
              <w:rPr>
                <w:rFonts w:hint="eastAsia" w:ascii="仿宋_GB2312" w:hAnsi="仿宋_GB2312" w:eastAsia="仿宋_GB2312" w:cs="仿宋_GB2312"/>
                <w:bCs/>
                <w:color w:val="auto"/>
                <w:sz w:val="24"/>
                <w:highlight w:val="none"/>
                <w:lang w:val="en-US" w:eastAsia="zh-CN"/>
              </w:rPr>
              <w:t>项目内容的全部费用（包含安全文明施工费）</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其中：安全文明施工费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bCs w:val="0"/>
                <w:color w:val="FF0000"/>
                <w:sz w:val="24"/>
                <w:highlight w:val="none"/>
                <w:lang w:val="en-US" w:eastAsia="zh-CN"/>
              </w:rPr>
              <w:t>此项为必填项，该费用为固定价，金额为</w:t>
            </w:r>
            <w:r>
              <w:rPr>
                <w:rFonts w:hint="eastAsia" w:ascii="仿宋_GB2312" w:hAnsi="仿宋_GB2312" w:eastAsia="仿宋_GB2312" w:cs="仿宋_GB2312"/>
                <w:b/>
                <w:bCs w:val="0"/>
                <w:color w:val="FF0000"/>
                <w:sz w:val="24"/>
                <w:highlight w:val="none"/>
              </w:rPr>
              <w:t>湿磨机D衬板更换</w:t>
            </w:r>
            <w:r>
              <w:rPr>
                <w:rFonts w:hint="eastAsia" w:ascii="仿宋_GB2312" w:hAnsi="仿宋_GB2312" w:eastAsia="仿宋_GB2312" w:cs="仿宋_GB2312"/>
                <w:b/>
                <w:bCs w:val="0"/>
                <w:color w:val="FF0000"/>
                <w:sz w:val="24"/>
                <w:highlight w:val="none"/>
                <w:lang w:val="en-US" w:eastAsia="zh-CN"/>
              </w:rPr>
              <w:t>综合含税总报价的2.5%。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6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bCs w:val="0"/>
          <w:color w:val="C00000"/>
          <w:sz w:val="24"/>
          <w:highlight w:val="none"/>
          <w:lang w:eastAsia="zh-CN"/>
        </w:rPr>
        <w:t>综合含税总价中包含安全文明施工费</w:t>
      </w:r>
      <w:r>
        <w:rPr>
          <w:rFonts w:hint="eastAsia" w:ascii="仿宋_GB2312" w:hAnsi="仿宋_GB2312" w:eastAsia="仿宋_GB2312" w:cs="仿宋_GB2312"/>
          <w:b/>
          <w:bCs w:val="0"/>
          <w:color w:val="C00000"/>
          <w:sz w:val="24"/>
          <w:highlight w:val="none"/>
          <w:lang w:val="en-US" w:eastAsia="zh-CN"/>
        </w:rPr>
        <w:t>（</w:t>
      </w:r>
      <w:r>
        <w:rPr>
          <w:rFonts w:hint="eastAsia" w:ascii="仿宋_GB2312" w:hAnsi="仿宋_GB2312" w:eastAsia="仿宋_GB2312" w:cs="仿宋_GB2312"/>
          <w:b/>
          <w:bCs w:val="0"/>
          <w:color w:val="C00000"/>
          <w:sz w:val="24"/>
          <w:highlight w:val="none"/>
        </w:rPr>
        <w:t>该费用为固定价，为</w:t>
      </w:r>
      <w:r>
        <w:rPr>
          <w:rFonts w:hint="eastAsia" w:ascii="仿宋_GB2312" w:hAnsi="仿宋_GB2312" w:eastAsia="仿宋_GB2312" w:cs="仿宋_GB2312"/>
          <w:b/>
          <w:bCs w:val="0"/>
          <w:color w:val="C00000"/>
          <w:sz w:val="24"/>
          <w:highlight w:val="none"/>
          <w:lang w:eastAsia="zh-CN"/>
        </w:rPr>
        <w:t>综合</w:t>
      </w:r>
      <w:r>
        <w:rPr>
          <w:rFonts w:hint="eastAsia" w:ascii="仿宋_GB2312" w:hAnsi="仿宋_GB2312" w:eastAsia="仿宋_GB2312" w:cs="仿宋_GB2312"/>
          <w:b/>
          <w:bCs w:val="0"/>
          <w:color w:val="C00000"/>
          <w:sz w:val="24"/>
          <w:highlight w:val="none"/>
        </w:rPr>
        <w:t>含税</w:t>
      </w:r>
      <w:r>
        <w:rPr>
          <w:rFonts w:hint="eastAsia" w:ascii="仿宋_GB2312" w:hAnsi="仿宋_GB2312" w:eastAsia="仿宋_GB2312" w:cs="仿宋_GB2312"/>
          <w:b/>
          <w:bCs w:val="0"/>
          <w:color w:val="C00000"/>
          <w:sz w:val="24"/>
          <w:highlight w:val="none"/>
          <w:lang w:eastAsia="zh-CN"/>
        </w:rPr>
        <w:t>总</w:t>
      </w:r>
      <w:r>
        <w:rPr>
          <w:rFonts w:hint="eastAsia" w:ascii="仿宋_GB2312" w:hAnsi="仿宋_GB2312" w:eastAsia="仿宋_GB2312" w:cs="仿宋_GB2312"/>
          <w:b/>
          <w:bCs w:val="0"/>
          <w:color w:val="C00000"/>
          <w:sz w:val="24"/>
          <w:highlight w:val="none"/>
        </w:rPr>
        <w:t>报价的2</w:t>
      </w:r>
      <w:r>
        <w:rPr>
          <w:rFonts w:hint="eastAsia" w:ascii="仿宋_GB2312" w:hAnsi="仿宋_GB2312" w:eastAsia="仿宋_GB2312" w:cs="仿宋_GB2312"/>
          <w:b/>
          <w:bCs w:val="0"/>
          <w:color w:val="C00000"/>
          <w:sz w:val="24"/>
          <w:highlight w:val="none"/>
          <w:lang w:val="en-US" w:eastAsia="zh-CN"/>
        </w:rPr>
        <w:t>.5</w:t>
      </w:r>
      <w:r>
        <w:rPr>
          <w:rFonts w:hint="eastAsia" w:ascii="仿宋_GB2312" w:hAnsi="仿宋_GB2312" w:eastAsia="仿宋_GB2312" w:cs="仿宋_GB2312"/>
          <w:b/>
          <w:bCs w:val="0"/>
          <w:color w:val="C00000"/>
          <w:sz w:val="24"/>
          <w:highlight w:val="none"/>
        </w:rPr>
        <w:t>%</w:t>
      </w:r>
      <w:r>
        <w:rPr>
          <w:rFonts w:hint="eastAsia" w:ascii="仿宋_GB2312" w:hAnsi="仿宋_GB2312" w:eastAsia="仿宋_GB2312" w:cs="仿宋_GB2312"/>
          <w:b/>
          <w:bCs w:val="0"/>
          <w:color w:val="C00000"/>
          <w:sz w:val="24"/>
          <w:highlight w:val="none"/>
          <w:lang w:eastAsia="zh-CN"/>
        </w:rPr>
        <w:t>）</w:t>
      </w:r>
      <w:r>
        <w:rPr>
          <w:rFonts w:hint="eastAsia" w:ascii="仿宋_GB2312" w:hAnsi="仿宋_GB2312" w:eastAsia="仿宋_GB2312" w:cs="仿宋_GB2312"/>
          <w:b/>
          <w:bCs w:val="0"/>
          <w:color w:val="C00000"/>
          <w:sz w:val="24"/>
          <w:highlight w:val="none"/>
          <w:lang w:val="en-US" w:eastAsia="zh-CN"/>
        </w:rPr>
        <w:t>，</w:t>
      </w:r>
      <w:r>
        <w:rPr>
          <w:rFonts w:hint="eastAsia" w:ascii="仿宋_GB2312" w:hAnsi="仿宋_GB2312" w:eastAsia="仿宋_GB2312" w:cs="仿宋_GB2312"/>
          <w:sz w:val="24"/>
          <w:lang w:eastAsia="zh-CN"/>
        </w:rPr>
        <w:t>合同履行期间，乙方应按照此项报价足额投入安全文明施工费。</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numPr>
          <w:ilvl w:val="-1"/>
          <w:numId w:val="0"/>
        </w:numPr>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3、本</w:t>
      </w:r>
      <w:r>
        <w:rPr>
          <w:rFonts w:hint="eastAsia" w:ascii="仿宋_GB2312" w:hAnsi="仿宋_GB2312" w:eastAsia="仿宋_GB2312" w:cs="仿宋_GB2312"/>
          <w:sz w:val="24"/>
        </w:rPr>
        <w:t>项目工作范围同技术规范书。</w:t>
      </w:r>
    </w:p>
    <w:p>
      <w:pPr>
        <w:numPr>
          <w:ilvl w:val="0"/>
          <w:numId w:val="0"/>
        </w:numPr>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4、非报价单位法定代表人亲自报价的，应提供授权委托书（经法定代表人签字并加盖公司公章，授权范围应至少包括报价、谈判、签订合同）。</w:t>
      </w:r>
    </w:p>
    <w:p>
      <w:pPr>
        <w:pStyle w:val="2"/>
        <w:rPr>
          <w:rFonts w:hint="default"/>
          <w:lang w:val="en-US" w:eastAsia="zh-CN"/>
        </w:rPr>
      </w:pPr>
      <w:r>
        <w:rPr>
          <w:rFonts w:hint="eastAsia" w:ascii="仿宋_GB2312" w:hAnsi="仿宋_GB2312" w:eastAsia="仿宋_GB2312" w:cs="仿宋_GB2312"/>
          <w:kern w:val="2"/>
          <w:sz w:val="24"/>
          <w:szCs w:val="24"/>
          <w:lang w:val="en-US" w:eastAsia="zh-CN"/>
        </w:rPr>
        <w:t>5、本报价单标注的实质性条款为项目合同的主要条款，若中选，报价人不得要求对实质性条款作出实质性修改，否则川南发电公司有权取消其中选资格。</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一、</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1.1本项目书面合同签订后，乙方向甲方开具合同含税金额的10%的收据后30日内，甲方向乙方支付合同金额10%的预付款（含项目的安全文明施工费）；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1.2合同项目全部竣工验收合格，乙方向甲方提交付款申请单和合同金额100%的增值税专用发票后的30日内，甲方向乙方支付至合同金额的100％；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施工费、技术服务费、脚手架搭拆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乙方进场时间以甲方提前通知为准，乙方应在接到通知后，8小时内组织人员入场</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2.工作范围及工作要求：按照《技术要求》的内容完成本项目，保证甲方湿磨机正常运行，具体要求详见技术要求。</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3.施工人员要求：详见《技术要求》。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如有）以及其他相关管理制度要求（包括甲方已发布和合同期内新发布的所有规章制度），甲方有权按相关协议、制度对乙方违反甲方管理制度规定的行为进行考核。</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1.乙方未按照合同履行义务，给甲方造成损失的，乙方应承担损害赔偿责任。</w:t>
      </w:r>
    </w:p>
    <w:p>
      <w:pPr>
        <w:spacing w:line="360" w:lineRule="auto"/>
        <w:ind w:firstLine="48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四、评选规则</w:t>
      </w:r>
    </w:p>
    <w:p>
      <w:p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川南发电公司将于报价截止后对报价人资质进行符合性审查，审查后确定项目报价竞争充分的，川南发电将对通过符合性审查的报价人的最终价格由低到高排序，价低者优先中选。</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五、其他说明（乙方填写）：</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年    月    日   </w:t>
      </w:r>
    </w:p>
    <w:p>
      <w:pPr>
        <w:numPr>
          <w:ilvl w:val="0"/>
          <w:numId w:val="0"/>
        </w:numPr>
        <w:jc w:val="both"/>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bookmarkStart w:id="11" w:name="_GoBack"/>
      <w:bookmarkEnd w:id="11"/>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443899"/>
            <w:bookmarkStart w:id="1" w:name="_Toc460953405"/>
            <w:bookmarkStart w:id="2" w:name="_Toc466624757"/>
            <w:bookmarkStart w:id="3" w:name="_Toc460953751"/>
            <w:bookmarkStart w:id="4" w:name="_Toc466626700"/>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6443900"/>
            <w:bookmarkStart w:id="6" w:name="_Toc466626701"/>
            <w:bookmarkStart w:id="7" w:name="_Toc466624758"/>
            <w:bookmarkStart w:id="8" w:name="_Toc460953752"/>
            <w:bookmarkStart w:id="9" w:name="_Toc460953406"/>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keepNext w:val="0"/>
        <w:keepLines w:val="0"/>
        <w:pageBreakBefore w:val="0"/>
        <w:widowControl/>
        <w:kinsoku/>
        <w:wordWrap/>
        <w:overflowPunct/>
        <w:topLinePunct w:val="0"/>
        <w:autoSpaceDE/>
        <w:autoSpaceDN/>
        <w:bidi w:val="0"/>
        <w:adjustRightInd/>
        <w:spacing w:line="440" w:lineRule="exact"/>
        <w:ind w:firstLine="5160" w:firstLineChars="21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湿磨机D衬板更换项目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竞争性谈判</w:t>
      </w:r>
      <w:r>
        <w:rPr>
          <w:rFonts w:hint="eastAsia" w:ascii="仿宋_GB2312" w:hAnsi="仿宋_GB2312" w:eastAsia="仿宋_GB2312" w:cs="仿宋_GB2312"/>
          <w:sz w:val="24"/>
          <w:szCs w:val="24"/>
        </w:rPr>
        <w:t>文件和技术</w:t>
      </w:r>
      <w:r>
        <w:rPr>
          <w:rFonts w:hint="eastAsia" w:ascii="仿宋_GB2312" w:hAnsi="仿宋_GB2312" w:eastAsia="仿宋_GB2312" w:cs="仿宋_GB2312"/>
          <w:sz w:val="24"/>
          <w:szCs w:val="24"/>
          <w:lang w:eastAsia="zh-CN"/>
        </w:rPr>
        <w:t>要求文件</w:t>
      </w:r>
      <w:r>
        <w:rPr>
          <w:rFonts w:hint="eastAsia" w:ascii="仿宋_GB2312" w:hAnsi="仿宋_GB2312" w:eastAsia="仿宋_GB2312" w:cs="仿宋_GB2312"/>
          <w:sz w:val="24"/>
          <w:szCs w:val="24"/>
        </w:rPr>
        <w:t>的要求。我公司同意报价截止之日起90天内本报价一直对我公司具有约束力，并随时被接受。</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rPr>
        <w:t>我</w:t>
      </w:r>
      <w:r>
        <w:rPr>
          <w:rFonts w:hint="eastAsia" w:ascii="仿宋_GB2312" w:hAnsi="仿宋_GB2312" w:eastAsia="仿宋_GB2312" w:cs="仿宋_GB2312"/>
          <w:sz w:val="24"/>
          <w:lang w:eastAsia="zh-CN"/>
        </w:rPr>
        <w:t>公司</w:t>
      </w:r>
      <w:r>
        <w:rPr>
          <w:rFonts w:hint="eastAsia" w:ascii="仿宋_GB2312" w:hAnsi="仿宋_GB2312" w:eastAsia="仿宋_GB2312" w:cs="仿宋_GB2312"/>
          <w:sz w:val="24"/>
        </w:rPr>
        <w:t>理解</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单位并不一定以最低价中选的结果，并不要求对未中选理由</w:t>
      </w:r>
      <w:r>
        <w:rPr>
          <w:rFonts w:hint="eastAsia" w:ascii="仿宋_GB2312" w:hAnsi="仿宋_GB2312" w:eastAsia="仿宋_GB2312" w:cs="仿宋_GB2312"/>
          <w:sz w:val="24"/>
          <w:lang w:eastAsia="zh-CN"/>
        </w:rPr>
        <w:t>作出</w:t>
      </w:r>
      <w:r>
        <w:rPr>
          <w:rFonts w:hint="eastAsia" w:ascii="仿宋_GB2312" w:hAnsi="仿宋_GB2312" w:eastAsia="仿宋_GB2312" w:cs="仿宋_GB2312"/>
          <w:sz w:val="24"/>
        </w:rPr>
        <w:t>任何解释</w:t>
      </w:r>
      <w:r>
        <w:rPr>
          <w:rFonts w:ascii="仿宋_GB2312" w:hAnsi="仿宋_GB2312" w:eastAsia="仿宋_GB2312" w:cs="仿宋_GB2312"/>
          <w:sz w:val="24"/>
        </w:rPr>
        <w:t>。</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若中选，因我方原因未按竞争性谈判文件要求与贵方签订书面合同，贵方有权扣除我方的报价保证金。</w:t>
      </w:r>
    </w:p>
    <w:p>
      <w:pPr>
        <w:numPr>
          <w:ilvl w:val="0"/>
          <w:numId w:val="1"/>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33987"/>
    <w:multiLevelType w:val="singleLevel"/>
    <w:tmpl w:val="5D13398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51B106F"/>
    <w:rsid w:val="05604538"/>
    <w:rsid w:val="05965135"/>
    <w:rsid w:val="077C2D93"/>
    <w:rsid w:val="0828550C"/>
    <w:rsid w:val="09457446"/>
    <w:rsid w:val="0A4C3311"/>
    <w:rsid w:val="0B3F5A01"/>
    <w:rsid w:val="0E5D6740"/>
    <w:rsid w:val="12F422EA"/>
    <w:rsid w:val="15DF504A"/>
    <w:rsid w:val="169D6AA5"/>
    <w:rsid w:val="1A0F7BE0"/>
    <w:rsid w:val="1C0D284B"/>
    <w:rsid w:val="1C6449AB"/>
    <w:rsid w:val="1CBB5978"/>
    <w:rsid w:val="21036C97"/>
    <w:rsid w:val="21066CBD"/>
    <w:rsid w:val="252834D7"/>
    <w:rsid w:val="25A847D7"/>
    <w:rsid w:val="27AC59D6"/>
    <w:rsid w:val="27E26203"/>
    <w:rsid w:val="28020AF0"/>
    <w:rsid w:val="290C4675"/>
    <w:rsid w:val="3034550A"/>
    <w:rsid w:val="31C91011"/>
    <w:rsid w:val="32864F04"/>
    <w:rsid w:val="348E1C47"/>
    <w:rsid w:val="36DF7C46"/>
    <w:rsid w:val="3B25403C"/>
    <w:rsid w:val="3B3F4030"/>
    <w:rsid w:val="3BC304E2"/>
    <w:rsid w:val="3E736356"/>
    <w:rsid w:val="3EC009AE"/>
    <w:rsid w:val="3F9D5840"/>
    <w:rsid w:val="3FC23F6C"/>
    <w:rsid w:val="3FF366D5"/>
    <w:rsid w:val="406212F8"/>
    <w:rsid w:val="43A97390"/>
    <w:rsid w:val="455901D1"/>
    <w:rsid w:val="480B6C99"/>
    <w:rsid w:val="4B434DA7"/>
    <w:rsid w:val="4B6C74D0"/>
    <w:rsid w:val="4B785CE8"/>
    <w:rsid w:val="4EE20E5B"/>
    <w:rsid w:val="4F2C2F93"/>
    <w:rsid w:val="4FBF42E5"/>
    <w:rsid w:val="50614361"/>
    <w:rsid w:val="516F13BD"/>
    <w:rsid w:val="53192EF6"/>
    <w:rsid w:val="53BA2E6A"/>
    <w:rsid w:val="54067363"/>
    <w:rsid w:val="57AB0E67"/>
    <w:rsid w:val="59481887"/>
    <w:rsid w:val="59F5307C"/>
    <w:rsid w:val="5AFC259D"/>
    <w:rsid w:val="5E1E68F7"/>
    <w:rsid w:val="61327432"/>
    <w:rsid w:val="63A20927"/>
    <w:rsid w:val="659B25C1"/>
    <w:rsid w:val="6C1626E0"/>
    <w:rsid w:val="6D6D2EA1"/>
    <w:rsid w:val="6EAC4723"/>
    <w:rsid w:val="71344A46"/>
    <w:rsid w:val="72CE6D66"/>
    <w:rsid w:val="73B40A19"/>
    <w:rsid w:val="75032589"/>
    <w:rsid w:val="76E81026"/>
    <w:rsid w:val="77D64548"/>
    <w:rsid w:val="77EE4A15"/>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7"/>
    <w:qFormat/>
    <w:uiPriority w:val="0"/>
    <w:rPr>
      <w:rFonts w:hint="eastAsia" w:ascii="宋体" w:hAnsi="宋体" w:eastAsia="宋体" w:cs="宋体"/>
      <w:color w:val="FF0000"/>
      <w:sz w:val="22"/>
      <w:szCs w:val="22"/>
      <w:u w:val="none"/>
    </w:rPr>
  </w:style>
  <w:style w:type="paragraph" w:customStyle="1" w:styleId="9">
    <w:name w:val=" Char"/>
    <w:basedOn w:val="1"/>
    <w:qFormat/>
    <w:uiPriority w:val="0"/>
  </w:style>
  <w:style w:type="character" w:customStyle="1" w:styleId="10">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dcterms:modified xsi:type="dcterms:W3CDTF">2024-03-13T08:03:14Z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7694081294C94892A834DFE6C8415FFD</vt:lpwstr>
  </property>
</Properties>
</file>