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val="0"/>
          <w:color w:val="auto"/>
          <w:kern w:val="2"/>
          <w:sz w:val="24"/>
          <w:szCs w:val="24"/>
          <w:highlight w:val="none"/>
          <w:lang w:val="en-US" w:eastAsia="zh-CN" w:bidi="ar-SA"/>
        </w:rPr>
      </w:pPr>
      <w:r>
        <w:rPr>
          <w:rFonts w:hint="eastAsia" w:ascii="方正小标宋简体" w:hAnsi="方正小标宋简体" w:eastAsia="方正小标宋简体" w:cs="方正小标宋简体"/>
          <w:b w:val="0"/>
          <w:bCs/>
          <w:sz w:val="44"/>
          <w:szCs w:val="44"/>
          <w:lang w:val="zh-CN" w:eastAsia="zh-CN"/>
        </w:rPr>
        <w:t>25T吊车维保及年检项目报价单</w:t>
      </w:r>
    </w:p>
    <w:tbl>
      <w:tblPr>
        <w:tblStyle w:val="6"/>
        <w:tblpPr w:leftFromText="180" w:rightFromText="180" w:vertAnchor="page" w:horzAnchor="page" w:tblpX="1159" w:tblpY="1679"/>
        <w:tblW w:w="9738" w:type="dxa"/>
        <w:tblInd w:w="-8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588"/>
        <w:gridCol w:w="1777"/>
        <w:gridCol w:w="1154"/>
        <w:gridCol w:w="32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53" w:hRule="atLeast"/>
        </w:trPr>
        <w:tc>
          <w:tcPr>
            <w:tcW w:w="3588" w:type="dxa"/>
            <w:noWrap w:val="0"/>
            <w:vAlign w:val="center"/>
          </w:tcPr>
          <w:p>
            <w:pPr>
              <w:keepNext w:val="0"/>
              <w:keepLines w:val="0"/>
              <w:suppressLineNumbers w:val="0"/>
              <w:spacing w:before="0" w:beforeAutospacing="0" w:after="0" w:afterAutospacing="0" w:line="480" w:lineRule="auto"/>
              <w:ind w:left="0" w:right="0"/>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项目或内容</w:t>
            </w:r>
          </w:p>
        </w:tc>
        <w:tc>
          <w:tcPr>
            <w:tcW w:w="17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lang w:eastAsia="zh-CN"/>
              </w:rPr>
            </w:pPr>
          </w:p>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lang w:eastAsia="zh-CN"/>
              </w:rPr>
              <w:t>综合含税总价</w:t>
            </w:r>
          </w:p>
          <w:p>
            <w:pPr>
              <w:pStyle w:val="4"/>
              <w:keepNext w:val="0"/>
              <w:keepLines w:val="0"/>
              <w:suppressLineNumbers w:val="0"/>
              <w:spacing w:before="0" w:beforeAutospacing="0" w:after="0" w:afterAutospacing="0"/>
              <w:ind w:left="0" w:right="0" w:firstLine="0"/>
              <w:jc w:val="center"/>
              <w:rPr>
                <w:rFonts w:hint="eastAsia" w:ascii="仿宋_GB2312" w:hAnsi="仿宋_GB2312" w:eastAsia="仿宋_GB2312" w:cs="仿宋_GB2312"/>
                <w:szCs w:val="24"/>
                <w:lang w:eastAsia="zh-CN"/>
              </w:rPr>
            </w:pPr>
          </w:p>
        </w:tc>
        <w:tc>
          <w:tcPr>
            <w:tcW w:w="1154" w:type="dxa"/>
            <w:noWrap w:val="0"/>
            <w:vAlign w:val="center"/>
          </w:tcPr>
          <w:p>
            <w:pPr>
              <w:pStyle w:val="4"/>
              <w:keepNext w:val="0"/>
              <w:keepLines w:val="0"/>
              <w:suppressLineNumbers w:val="0"/>
              <w:spacing w:before="0" w:beforeAutospacing="0" w:after="0" w:afterAutospacing="0"/>
              <w:ind w:left="0" w:right="0" w:firstLine="0"/>
              <w:jc w:val="center"/>
              <w:rPr>
                <w:rFonts w:hint="eastAsia" w:ascii="仿宋_GB2312" w:hAnsi="仿宋_GB2312" w:eastAsia="仿宋_GB2312" w:cs="仿宋_GB2312"/>
                <w:szCs w:val="24"/>
                <w:lang w:eastAsia="zh-CN"/>
              </w:rPr>
            </w:pPr>
            <w:r>
              <w:rPr>
                <w:rFonts w:hint="eastAsia" w:ascii="仿宋_GB2312" w:hAnsi="仿宋_GB2312" w:eastAsia="仿宋_GB2312" w:cs="仿宋_GB2312"/>
                <w:szCs w:val="24"/>
                <w:lang w:eastAsia="zh-CN"/>
              </w:rPr>
              <w:t>税率</w:t>
            </w:r>
          </w:p>
        </w:tc>
        <w:tc>
          <w:tcPr>
            <w:tcW w:w="3219"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12" w:hRule="atLeast"/>
        </w:trPr>
        <w:tc>
          <w:tcPr>
            <w:tcW w:w="3588"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lang w:eastAsia="zh-CN"/>
              </w:rPr>
            </w:pPr>
            <w:r>
              <w:rPr>
                <w:rFonts w:hint="eastAsia" w:ascii="仿宋_GB2312" w:hAnsi="仿宋_GB2312" w:eastAsia="仿宋_GB2312" w:cs="仿宋_GB2312"/>
                <w:bCs/>
                <w:color w:val="auto"/>
                <w:sz w:val="24"/>
                <w:highlight w:val="none"/>
              </w:rPr>
              <w:t>25T吊车维保及年检项目</w:t>
            </w:r>
          </w:p>
        </w:tc>
        <w:tc>
          <w:tcPr>
            <w:tcW w:w="17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1154"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3219" w:type="dxa"/>
            <w:noWrap w:val="0"/>
            <w:vAlign w:val="center"/>
          </w:tcPr>
          <w:p>
            <w:pPr>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sz w:val="24"/>
              </w:rPr>
            </w:pPr>
            <w:r>
              <w:rPr>
                <w:rFonts w:hint="eastAsia" w:ascii="仿宋_GB2312" w:hAnsi="仿宋_GB2312" w:eastAsia="仿宋_GB2312" w:cs="仿宋_GB2312"/>
                <w:bCs/>
                <w:color w:val="auto"/>
                <w:sz w:val="24"/>
                <w:highlight w:val="none"/>
                <w:lang w:val="en-US" w:eastAsia="zh-CN"/>
              </w:rPr>
              <w:t>此项费用为完成</w:t>
            </w:r>
            <w:r>
              <w:rPr>
                <w:rFonts w:hint="eastAsia" w:ascii="仿宋_GB2312" w:hAnsi="仿宋_GB2312" w:eastAsia="仿宋_GB2312" w:cs="仿宋_GB2312"/>
                <w:bCs/>
                <w:color w:val="auto"/>
                <w:sz w:val="24"/>
                <w:highlight w:val="none"/>
              </w:rPr>
              <w:t>25T吊车维保及年检项目</w:t>
            </w:r>
            <w:r>
              <w:rPr>
                <w:rFonts w:hint="eastAsia" w:ascii="仿宋_GB2312" w:hAnsi="仿宋_GB2312" w:eastAsia="仿宋_GB2312" w:cs="仿宋_GB2312"/>
                <w:bCs/>
                <w:color w:val="auto"/>
                <w:sz w:val="24"/>
                <w:highlight w:val="none"/>
                <w:lang w:val="en-US" w:eastAsia="zh-CN"/>
              </w:rPr>
              <w:t>内容的全部费用</w:t>
            </w:r>
            <w:r>
              <w:rPr>
                <w:rFonts w:hint="eastAsia" w:ascii="仿宋_GB2312" w:hAnsi="仿宋_GB2312" w:eastAsia="仿宋_GB2312" w:cs="仿宋_GB2312"/>
                <w:b w:val="0"/>
                <w:bCs/>
                <w:color w:val="auto"/>
                <w:kern w:val="2"/>
                <w:sz w:val="24"/>
                <w:szCs w:val="24"/>
                <w:highlight w:val="none"/>
                <w:lang w:val="en-US" w:eastAsia="zh-CN" w:bidi="ar-S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66" w:hRule="atLeast"/>
        </w:trPr>
        <w:tc>
          <w:tcPr>
            <w:tcW w:w="3588"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240" w:lineRule="auto"/>
              <w:ind w:left="0" w:right="0" w:firstLine="480" w:firstLineChars="200"/>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sz w:val="24"/>
                <w:lang w:eastAsia="zh-CN"/>
              </w:rPr>
              <w:t>综合含税总价金额</w:t>
            </w:r>
            <w:r>
              <w:rPr>
                <w:rFonts w:hint="eastAsia" w:ascii="仿宋_GB2312" w:hAnsi="仿宋_GB2312" w:eastAsia="仿宋_GB2312" w:cs="仿宋_GB2312"/>
                <w:b w:val="0"/>
                <w:bCs w:val="0"/>
                <w:sz w:val="24"/>
                <w:u w:val="none"/>
                <w:lang w:eastAsia="zh-CN"/>
              </w:rPr>
              <w:t>大写：</w:t>
            </w:r>
          </w:p>
        </w:tc>
        <w:tc>
          <w:tcPr>
            <w:tcW w:w="6150" w:type="dxa"/>
            <w:gridSpan w:val="3"/>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val="0"/>
                <w:sz w:val="24"/>
                <w:u w:val="single"/>
                <w:lang w:eastAsia="zh-CN"/>
              </w:rPr>
            </w:pPr>
          </w:p>
        </w:tc>
      </w:tr>
    </w:tbl>
    <w:p>
      <w:pPr>
        <w:spacing w:line="360" w:lineRule="auto"/>
        <w:ind w:firstLine="482" w:firstLineChars="200"/>
        <w:jc w:val="both"/>
        <w:rPr>
          <w:rFonts w:hint="eastAsia" w:ascii="仿宋_GB2312" w:hAnsi="仿宋_GB2312" w:eastAsia="仿宋_GB2312" w:cs="仿宋_GB2312"/>
          <w:b/>
          <w:bCs/>
          <w:color w:val="auto"/>
          <w:sz w:val="24"/>
          <w:lang w:eastAsia="zh-CN"/>
        </w:rPr>
      </w:pPr>
      <w:r>
        <w:rPr>
          <w:rFonts w:hint="eastAsia" w:ascii="仿宋_GB2312" w:hAnsi="仿宋_GB2312" w:eastAsia="仿宋_GB2312" w:cs="仿宋_GB2312"/>
          <w:b/>
          <w:bCs/>
          <w:color w:val="auto"/>
          <w:sz w:val="24"/>
          <w:lang w:eastAsia="zh-CN"/>
        </w:rPr>
        <w:t>25T吊车维保及年检项目报价明细表（所有分项报价均包含耗材费用且含税）：</w:t>
      </w:r>
    </w:p>
    <w:tbl>
      <w:tblPr>
        <w:tblStyle w:val="7"/>
        <w:tblW w:w="4554" w:type="pct"/>
        <w:tblInd w:w="5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993"/>
        <w:gridCol w:w="4875"/>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lang w:eastAsia="zh-CN"/>
              </w:rPr>
              <w:t>序号</w:t>
            </w:r>
          </w:p>
        </w:tc>
        <w:tc>
          <w:tcPr>
            <w:tcW w:w="1024" w:type="pct"/>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lang w:eastAsia="zh-CN"/>
              </w:rPr>
              <w:t>名称</w:t>
            </w:r>
          </w:p>
        </w:tc>
        <w:tc>
          <w:tcPr>
            <w:tcW w:w="2505" w:type="pct"/>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lang w:eastAsia="zh-CN"/>
              </w:rPr>
              <w:t>检修项目</w:t>
            </w:r>
          </w:p>
        </w:tc>
        <w:tc>
          <w:tcPr>
            <w:tcW w:w="1031" w:type="pct"/>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lang w:eastAsia="zh-CN"/>
              </w:rPr>
              <w:t>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1</w:t>
            </w:r>
          </w:p>
        </w:tc>
        <w:tc>
          <w:tcPr>
            <w:tcW w:w="1024" w:type="pct"/>
            <w:vMerge w:val="restart"/>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发动机</w:t>
            </w:r>
          </w:p>
        </w:tc>
        <w:tc>
          <w:tcPr>
            <w:tcW w:w="2505"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lang w:eastAsia="zh-CN"/>
              </w:rPr>
              <w:t>更换三滤</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2</w:t>
            </w:r>
          </w:p>
        </w:tc>
        <w:tc>
          <w:tcPr>
            <w:tcW w:w="1024" w:type="pct"/>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c>
          <w:tcPr>
            <w:tcW w:w="2505"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机油及</w:t>
            </w:r>
            <w:r>
              <w:rPr>
                <w:rFonts w:hint="eastAsia" w:ascii="仿宋_GB2312" w:hAnsi="仿宋_GB2312" w:eastAsia="仿宋_GB2312" w:cs="仿宋_GB2312"/>
                <w:bCs/>
                <w:color w:val="auto"/>
                <w:sz w:val="24"/>
                <w:highlight w:val="none"/>
                <w:lang w:eastAsia="zh-CN"/>
              </w:rPr>
              <w:t>防冻</w:t>
            </w:r>
            <w:r>
              <w:rPr>
                <w:rFonts w:hint="eastAsia" w:ascii="仿宋_GB2312" w:hAnsi="仿宋_GB2312" w:eastAsia="仿宋_GB2312" w:cs="仿宋_GB2312"/>
                <w:bCs/>
                <w:color w:val="auto"/>
                <w:sz w:val="24"/>
                <w:highlight w:val="none"/>
              </w:rPr>
              <w:t>液更换</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default"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3</w:t>
            </w:r>
          </w:p>
        </w:tc>
        <w:tc>
          <w:tcPr>
            <w:tcW w:w="1024" w:type="pct"/>
            <w:vMerge w:val="restart"/>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lang w:eastAsia="zh-CN"/>
              </w:rPr>
              <w:t>底盘部分</w:t>
            </w:r>
          </w:p>
        </w:tc>
        <w:tc>
          <w:tcPr>
            <w:tcW w:w="2505"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lang w:eastAsia="zh-CN"/>
              </w:rPr>
              <w:t>两条轮胎更换（轮胎内侧破损）</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4</w:t>
            </w:r>
          </w:p>
        </w:tc>
        <w:tc>
          <w:tcPr>
            <w:tcW w:w="1024" w:type="pct"/>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c>
          <w:tcPr>
            <w:tcW w:w="2505"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lang w:eastAsia="zh-CN"/>
              </w:rPr>
              <w:t>离合器检查、调试更换相关部件</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5</w:t>
            </w:r>
          </w:p>
        </w:tc>
        <w:tc>
          <w:tcPr>
            <w:tcW w:w="1024" w:type="pct"/>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c>
          <w:tcPr>
            <w:tcW w:w="2505"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lang w:eastAsia="zh-CN"/>
              </w:rPr>
              <w:t>转换</w:t>
            </w:r>
            <w:r>
              <w:rPr>
                <w:rFonts w:hint="eastAsia" w:ascii="仿宋_GB2312" w:hAnsi="仿宋_GB2312" w:eastAsia="仿宋_GB2312" w:cs="仿宋_GB2312"/>
                <w:bCs/>
                <w:color w:val="auto"/>
                <w:sz w:val="24"/>
                <w:highlight w:val="none"/>
              </w:rPr>
              <w:t>机构</w:t>
            </w:r>
            <w:r>
              <w:rPr>
                <w:rFonts w:hint="eastAsia" w:ascii="仿宋_GB2312" w:hAnsi="仿宋_GB2312" w:eastAsia="仿宋_GB2312" w:cs="仿宋_GB2312"/>
                <w:bCs/>
                <w:color w:val="auto"/>
                <w:sz w:val="24"/>
                <w:highlight w:val="none"/>
                <w:lang w:eastAsia="zh-CN"/>
              </w:rPr>
              <w:t>调试</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6</w:t>
            </w:r>
          </w:p>
        </w:tc>
        <w:tc>
          <w:tcPr>
            <w:tcW w:w="1024" w:type="pct"/>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c>
          <w:tcPr>
            <w:tcW w:w="2505"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lang w:eastAsia="zh-CN"/>
              </w:rPr>
              <w:t>变</w:t>
            </w:r>
            <w:r>
              <w:rPr>
                <w:rFonts w:hint="eastAsia" w:ascii="仿宋_GB2312" w:hAnsi="仿宋_GB2312" w:eastAsia="仿宋_GB2312" w:cs="仿宋_GB2312"/>
                <w:bCs/>
                <w:color w:val="auto"/>
                <w:sz w:val="24"/>
                <w:highlight w:val="none"/>
              </w:rPr>
              <w:t>速</w:t>
            </w:r>
            <w:r>
              <w:rPr>
                <w:rFonts w:hint="eastAsia" w:ascii="仿宋_GB2312" w:hAnsi="仿宋_GB2312" w:eastAsia="仿宋_GB2312" w:cs="仿宋_GB2312"/>
                <w:bCs/>
                <w:color w:val="auto"/>
                <w:sz w:val="24"/>
                <w:highlight w:val="none"/>
                <w:lang w:eastAsia="zh-CN"/>
              </w:rPr>
              <w:t>箱</w:t>
            </w:r>
            <w:r>
              <w:rPr>
                <w:rFonts w:hint="eastAsia" w:ascii="仿宋_GB2312" w:hAnsi="仿宋_GB2312" w:eastAsia="仿宋_GB2312" w:cs="仿宋_GB2312"/>
                <w:bCs/>
                <w:color w:val="auto"/>
                <w:sz w:val="24"/>
                <w:highlight w:val="none"/>
              </w:rPr>
              <w:t>检查</w:t>
            </w:r>
            <w:r>
              <w:rPr>
                <w:rFonts w:hint="eastAsia" w:ascii="仿宋_GB2312" w:hAnsi="仿宋_GB2312" w:eastAsia="仿宋_GB2312" w:cs="仿宋_GB2312"/>
                <w:bCs/>
                <w:color w:val="auto"/>
                <w:sz w:val="24"/>
                <w:highlight w:val="none"/>
                <w:lang w:eastAsia="zh-CN"/>
              </w:rPr>
              <w:t>、</w:t>
            </w:r>
            <w:r>
              <w:rPr>
                <w:rFonts w:hint="eastAsia" w:ascii="仿宋_GB2312" w:hAnsi="仿宋_GB2312" w:eastAsia="仿宋_GB2312" w:cs="仿宋_GB2312"/>
                <w:bCs/>
                <w:color w:val="auto"/>
                <w:sz w:val="24"/>
                <w:highlight w:val="none"/>
              </w:rPr>
              <w:t>更换</w:t>
            </w:r>
            <w:r>
              <w:rPr>
                <w:rFonts w:hint="eastAsia" w:ascii="仿宋_GB2312" w:hAnsi="仿宋_GB2312" w:eastAsia="仿宋_GB2312" w:cs="仿宋_GB2312"/>
                <w:bCs/>
                <w:color w:val="auto"/>
                <w:sz w:val="24"/>
                <w:highlight w:val="none"/>
                <w:lang w:eastAsia="zh-CN"/>
              </w:rPr>
              <w:t>齿</w:t>
            </w:r>
            <w:r>
              <w:rPr>
                <w:rFonts w:hint="eastAsia" w:ascii="仿宋_GB2312" w:hAnsi="仿宋_GB2312" w:eastAsia="仿宋_GB2312" w:cs="仿宋_GB2312"/>
                <w:bCs/>
                <w:color w:val="auto"/>
                <w:sz w:val="24"/>
                <w:highlight w:val="none"/>
              </w:rPr>
              <w:t>轮油</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7</w:t>
            </w:r>
          </w:p>
        </w:tc>
        <w:tc>
          <w:tcPr>
            <w:tcW w:w="1024" w:type="pct"/>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c>
          <w:tcPr>
            <w:tcW w:w="2505"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刹车调</w:t>
            </w:r>
            <w:r>
              <w:rPr>
                <w:rFonts w:hint="eastAsia" w:ascii="仿宋_GB2312" w:hAnsi="仿宋_GB2312" w:eastAsia="仿宋_GB2312" w:cs="仿宋_GB2312"/>
                <w:bCs/>
                <w:color w:val="auto"/>
                <w:sz w:val="24"/>
                <w:highlight w:val="none"/>
                <w:lang w:eastAsia="zh-CN"/>
              </w:rPr>
              <w:t>试、</w:t>
            </w:r>
            <w:r>
              <w:rPr>
                <w:rFonts w:hint="eastAsia" w:ascii="仿宋_GB2312" w:hAnsi="仿宋_GB2312" w:eastAsia="仿宋_GB2312" w:cs="仿宋_GB2312"/>
                <w:bCs/>
                <w:color w:val="auto"/>
                <w:sz w:val="24"/>
                <w:highlight w:val="none"/>
              </w:rPr>
              <w:t>保养</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8</w:t>
            </w:r>
          </w:p>
        </w:tc>
        <w:tc>
          <w:tcPr>
            <w:tcW w:w="1024" w:type="pct"/>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c>
          <w:tcPr>
            <w:tcW w:w="2505"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漏气检查</w:t>
            </w:r>
            <w:r>
              <w:rPr>
                <w:rFonts w:hint="eastAsia" w:ascii="仿宋_GB2312" w:hAnsi="仿宋_GB2312" w:eastAsia="仿宋_GB2312" w:cs="仿宋_GB2312"/>
                <w:bCs/>
                <w:color w:val="auto"/>
                <w:sz w:val="24"/>
                <w:highlight w:val="none"/>
                <w:lang w:eastAsia="zh-CN"/>
              </w:rPr>
              <w:t>、</w:t>
            </w:r>
            <w:r>
              <w:rPr>
                <w:rFonts w:hint="eastAsia" w:ascii="仿宋_GB2312" w:hAnsi="仿宋_GB2312" w:eastAsia="仿宋_GB2312" w:cs="仿宋_GB2312"/>
                <w:bCs/>
                <w:color w:val="auto"/>
                <w:sz w:val="24"/>
                <w:highlight w:val="none"/>
              </w:rPr>
              <w:t>修复</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9</w:t>
            </w:r>
          </w:p>
        </w:tc>
        <w:tc>
          <w:tcPr>
            <w:tcW w:w="1024" w:type="pct"/>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c>
          <w:tcPr>
            <w:tcW w:w="2505"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传动部位检查</w:t>
            </w:r>
            <w:r>
              <w:rPr>
                <w:rFonts w:hint="eastAsia" w:ascii="仿宋_GB2312" w:hAnsi="仿宋_GB2312" w:eastAsia="仿宋_GB2312" w:cs="仿宋_GB2312"/>
                <w:bCs/>
                <w:color w:val="auto"/>
                <w:sz w:val="24"/>
                <w:highlight w:val="none"/>
                <w:lang w:eastAsia="zh-CN"/>
              </w:rPr>
              <w:t>、</w:t>
            </w:r>
            <w:r>
              <w:rPr>
                <w:rFonts w:hint="eastAsia" w:ascii="仿宋_GB2312" w:hAnsi="仿宋_GB2312" w:eastAsia="仿宋_GB2312" w:cs="仿宋_GB2312"/>
                <w:bCs/>
                <w:color w:val="auto"/>
                <w:sz w:val="24"/>
                <w:highlight w:val="none"/>
              </w:rPr>
              <w:t>紧固</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default"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10</w:t>
            </w:r>
          </w:p>
        </w:tc>
        <w:tc>
          <w:tcPr>
            <w:tcW w:w="1024" w:type="pct"/>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c>
          <w:tcPr>
            <w:tcW w:w="2505"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各关节部位加油</w:t>
            </w:r>
            <w:r>
              <w:rPr>
                <w:rFonts w:hint="eastAsia" w:ascii="仿宋_GB2312" w:hAnsi="仿宋_GB2312" w:eastAsia="仿宋_GB2312" w:cs="仿宋_GB2312"/>
                <w:bCs/>
                <w:color w:val="auto"/>
                <w:sz w:val="24"/>
                <w:highlight w:val="none"/>
                <w:lang w:eastAsia="zh-CN"/>
              </w:rPr>
              <w:t>、</w:t>
            </w:r>
            <w:r>
              <w:rPr>
                <w:rFonts w:hint="eastAsia" w:ascii="仿宋_GB2312" w:hAnsi="仿宋_GB2312" w:eastAsia="仿宋_GB2312" w:cs="仿宋_GB2312"/>
                <w:bCs/>
                <w:color w:val="auto"/>
                <w:sz w:val="24"/>
                <w:highlight w:val="none"/>
              </w:rPr>
              <w:t>加脂</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default"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11</w:t>
            </w:r>
          </w:p>
        </w:tc>
        <w:tc>
          <w:tcPr>
            <w:tcW w:w="1024" w:type="pct"/>
            <w:vMerge w:val="restart"/>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lang w:eastAsia="zh-CN"/>
              </w:rPr>
              <w:t>电气部分</w:t>
            </w:r>
          </w:p>
        </w:tc>
        <w:tc>
          <w:tcPr>
            <w:tcW w:w="2505"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检查仪表</w:t>
            </w:r>
            <w:r>
              <w:rPr>
                <w:rFonts w:hint="eastAsia" w:ascii="仿宋_GB2312" w:hAnsi="仿宋_GB2312" w:eastAsia="仿宋_GB2312" w:cs="仿宋_GB2312"/>
                <w:bCs/>
                <w:color w:val="auto"/>
                <w:sz w:val="24"/>
                <w:highlight w:val="none"/>
                <w:lang w:eastAsia="zh-CN"/>
              </w:rPr>
              <w:t>盘</w:t>
            </w:r>
            <w:r>
              <w:rPr>
                <w:rFonts w:hint="eastAsia" w:ascii="仿宋_GB2312" w:hAnsi="仿宋_GB2312" w:eastAsia="仿宋_GB2312" w:cs="仿宋_GB2312"/>
                <w:bCs/>
                <w:color w:val="auto"/>
                <w:sz w:val="24"/>
                <w:highlight w:val="none"/>
              </w:rPr>
              <w:t>读数准确</w:t>
            </w:r>
            <w:r>
              <w:rPr>
                <w:rFonts w:hint="eastAsia" w:ascii="仿宋_GB2312" w:hAnsi="仿宋_GB2312" w:eastAsia="仿宋_GB2312" w:cs="仿宋_GB2312"/>
                <w:bCs/>
                <w:color w:val="auto"/>
                <w:sz w:val="24"/>
                <w:highlight w:val="none"/>
                <w:lang w:eastAsia="zh-CN"/>
              </w:rPr>
              <w:t>、</w:t>
            </w:r>
            <w:r>
              <w:rPr>
                <w:rFonts w:hint="eastAsia" w:ascii="仿宋_GB2312" w:hAnsi="仿宋_GB2312" w:eastAsia="仿宋_GB2312" w:cs="仿宋_GB2312"/>
                <w:bCs/>
                <w:color w:val="auto"/>
                <w:sz w:val="24"/>
                <w:highlight w:val="none"/>
              </w:rPr>
              <w:t>可靠</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default"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12</w:t>
            </w:r>
          </w:p>
        </w:tc>
        <w:tc>
          <w:tcPr>
            <w:tcW w:w="1024" w:type="pct"/>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c>
          <w:tcPr>
            <w:tcW w:w="2505"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灯光</w:t>
            </w:r>
            <w:r>
              <w:rPr>
                <w:rFonts w:hint="eastAsia" w:ascii="仿宋_GB2312" w:hAnsi="仿宋_GB2312" w:eastAsia="仿宋_GB2312" w:cs="仿宋_GB2312"/>
                <w:bCs/>
                <w:color w:val="auto"/>
                <w:sz w:val="24"/>
                <w:highlight w:val="none"/>
                <w:lang w:eastAsia="zh-CN"/>
              </w:rPr>
              <w:t>、照明</w:t>
            </w:r>
            <w:r>
              <w:rPr>
                <w:rFonts w:hint="eastAsia" w:ascii="仿宋_GB2312" w:hAnsi="仿宋_GB2312" w:eastAsia="仿宋_GB2312" w:cs="仿宋_GB2312"/>
                <w:bCs/>
                <w:color w:val="auto"/>
                <w:sz w:val="24"/>
                <w:highlight w:val="none"/>
              </w:rPr>
              <w:t>检查．</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default"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13</w:t>
            </w:r>
          </w:p>
        </w:tc>
        <w:tc>
          <w:tcPr>
            <w:tcW w:w="1024" w:type="pct"/>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c>
          <w:tcPr>
            <w:tcW w:w="2505"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lang w:eastAsia="zh-CN"/>
              </w:rPr>
              <w:t>电气</w:t>
            </w:r>
            <w:r>
              <w:rPr>
                <w:rFonts w:hint="eastAsia" w:ascii="仿宋_GB2312" w:hAnsi="仿宋_GB2312" w:eastAsia="仿宋_GB2312" w:cs="仿宋_GB2312"/>
                <w:bCs/>
                <w:color w:val="auto"/>
                <w:sz w:val="24"/>
                <w:highlight w:val="none"/>
              </w:rPr>
              <w:t>连接线路检查</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default"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14</w:t>
            </w:r>
          </w:p>
        </w:tc>
        <w:tc>
          <w:tcPr>
            <w:tcW w:w="1024" w:type="pct"/>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c>
          <w:tcPr>
            <w:tcW w:w="2505"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rPr>
              <w:t>上、下车空调检查</w:t>
            </w:r>
            <w:r>
              <w:rPr>
                <w:rFonts w:hint="eastAsia" w:ascii="仿宋_GB2312" w:hAnsi="仿宋_GB2312" w:eastAsia="仿宋_GB2312" w:cs="仿宋_GB2312"/>
                <w:bCs/>
                <w:color w:val="auto"/>
                <w:sz w:val="24"/>
                <w:highlight w:val="none"/>
                <w:lang w:eastAsia="zh-CN"/>
              </w:rPr>
              <w:t>加氟</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default"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15</w:t>
            </w:r>
          </w:p>
        </w:tc>
        <w:tc>
          <w:tcPr>
            <w:tcW w:w="1024" w:type="pct"/>
            <w:vMerge w:val="restart"/>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上车部分</w:t>
            </w:r>
          </w:p>
        </w:tc>
        <w:tc>
          <w:tcPr>
            <w:tcW w:w="2505"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lang w:eastAsia="zh-CN"/>
              </w:rPr>
              <w:t>液</w:t>
            </w:r>
            <w:r>
              <w:rPr>
                <w:rFonts w:hint="eastAsia" w:ascii="仿宋_GB2312" w:hAnsi="仿宋_GB2312" w:eastAsia="仿宋_GB2312" w:cs="仿宋_GB2312"/>
                <w:bCs/>
                <w:color w:val="auto"/>
                <w:sz w:val="24"/>
                <w:highlight w:val="none"/>
              </w:rPr>
              <w:t>压操纵</w:t>
            </w:r>
            <w:r>
              <w:rPr>
                <w:rFonts w:hint="eastAsia" w:ascii="仿宋_GB2312" w:hAnsi="仿宋_GB2312" w:eastAsia="仿宋_GB2312" w:cs="仿宋_GB2312"/>
                <w:bCs/>
                <w:color w:val="auto"/>
                <w:sz w:val="24"/>
                <w:highlight w:val="none"/>
                <w:lang w:eastAsia="zh-CN"/>
              </w:rPr>
              <w:t>阀组件</w:t>
            </w:r>
            <w:r>
              <w:rPr>
                <w:rFonts w:hint="eastAsia" w:ascii="仿宋_GB2312" w:hAnsi="仿宋_GB2312" w:eastAsia="仿宋_GB2312" w:cs="仿宋_GB2312"/>
                <w:bCs/>
                <w:color w:val="auto"/>
                <w:sz w:val="24"/>
                <w:highlight w:val="none"/>
              </w:rPr>
              <w:t>检修、更换</w:t>
            </w:r>
            <w:r>
              <w:rPr>
                <w:rFonts w:hint="eastAsia" w:ascii="仿宋_GB2312" w:hAnsi="仿宋_GB2312" w:eastAsia="仿宋_GB2312" w:cs="仿宋_GB2312"/>
                <w:bCs/>
                <w:color w:val="auto"/>
                <w:sz w:val="24"/>
                <w:highlight w:val="none"/>
                <w:lang w:eastAsia="zh-CN"/>
              </w:rPr>
              <w:t>密封件</w:t>
            </w:r>
            <w:r>
              <w:rPr>
                <w:rFonts w:hint="eastAsia" w:ascii="仿宋_GB2312" w:hAnsi="仿宋_GB2312" w:eastAsia="仿宋_GB2312" w:cs="仿宋_GB2312"/>
                <w:bCs/>
                <w:color w:val="auto"/>
                <w:sz w:val="24"/>
                <w:highlight w:val="none"/>
              </w:rPr>
              <w:t>（漏油）</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default"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16</w:t>
            </w:r>
          </w:p>
        </w:tc>
        <w:tc>
          <w:tcPr>
            <w:tcW w:w="1024" w:type="pct"/>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c>
          <w:tcPr>
            <w:tcW w:w="2505"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液压泵、</w:t>
            </w:r>
            <w:r>
              <w:rPr>
                <w:rFonts w:hint="eastAsia" w:ascii="仿宋_GB2312" w:hAnsi="仿宋_GB2312" w:eastAsia="仿宋_GB2312" w:cs="仿宋_GB2312"/>
                <w:bCs/>
                <w:color w:val="auto"/>
                <w:sz w:val="24"/>
                <w:highlight w:val="none"/>
                <w:lang w:eastAsia="zh-CN"/>
              </w:rPr>
              <w:t>阀</w:t>
            </w:r>
            <w:r>
              <w:rPr>
                <w:rFonts w:hint="eastAsia" w:ascii="仿宋_GB2312" w:hAnsi="仿宋_GB2312" w:eastAsia="仿宋_GB2312" w:cs="仿宋_GB2312"/>
                <w:bCs/>
                <w:color w:val="auto"/>
                <w:sz w:val="24"/>
                <w:highlight w:val="none"/>
              </w:rPr>
              <w:t>、锁</w:t>
            </w:r>
            <w:r>
              <w:rPr>
                <w:rFonts w:hint="eastAsia" w:ascii="仿宋_GB2312" w:hAnsi="仿宋_GB2312" w:eastAsia="仿宋_GB2312" w:cs="仿宋_GB2312"/>
                <w:bCs/>
                <w:color w:val="auto"/>
                <w:sz w:val="24"/>
                <w:highlight w:val="none"/>
                <w:lang w:eastAsia="zh-CN"/>
              </w:rPr>
              <w:t>、缸</w:t>
            </w:r>
            <w:r>
              <w:rPr>
                <w:rFonts w:hint="eastAsia" w:ascii="仿宋_GB2312" w:hAnsi="仿宋_GB2312" w:eastAsia="仿宋_GB2312" w:cs="仿宋_GB2312"/>
                <w:bCs/>
                <w:color w:val="auto"/>
                <w:sz w:val="24"/>
                <w:highlight w:val="none"/>
              </w:rPr>
              <w:t>检查</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default"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17</w:t>
            </w:r>
          </w:p>
        </w:tc>
        <w:tc>
          <w:tcPr>
            <w:tcW w:w="1024" w:type="pct"/>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c>
          <w:tcPr>
            <w:tcW w:w="2505"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各液压管部分更换（渗漏老化）</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default"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18</w:t>
            </w:r>
          </w:p>
        </w:tc>
        <w:tc>
          <w:tcPr>
            <w:tcW w:w="1024" w:type="pct"/>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c>
          <w:tcPr>
            <w:tcW w:w="2505"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各结构检查并加注油脂</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default"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19</w:t>
            </w:r>
          </w:p>
        </w:tc>
        <w:tc>
          <w:tcPr>
            <w:tcW w:w="1024" w:type="pct"/>
            <w:vMerge w:val="continue"/>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c>
          <w:tcPr>
            <w:tcW w:w="2505"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上</w:t>
            </w:r>
            <w:r>
              <w:rPr>
                <w:rFonts w:hint="eastAsia" w:ascii="仿宋_GB2312" w:hAnsi="仿宋_GB2312" w:eastAsia="仿宋_GB2312" w:cs="仿宋_GB2312"/>
                <w:bCs/>
                <w:color w:val="auto"/>
                <w:sz w:val="24"/>
                <w:highlight w:val="none"/>
                <w:lang w:eastAsia="zh-CN"/>
              </w:rPr>
              <w:t>车</w:t>
            </w:r>
            <w:r>
              <w:rPr>
                <w:rFonts w:hint="eastAsia" w:ascii="仿宋_GB2312" w:hAnsi="仿宋_GB2312" w:eastAsia="仿宋_GB2312" w:cs="仿宋_GB2312"/>
                <w:bCs/>
                <w:color w:val="auto"/>
                <w:sz w:val="24"/>
                <w:highlight w:val="none"/>
              </w:rPr>
              <w:t>电脑调校（重</w:t>
            </w:r>
            <w:r>
              <w:rPr>
                <w:rFonts w:hint="eastAsia" w:ascii="仿宋_GB2312" w:hAnsi="仿宋_GB2312" w:eastAsia="仿宋_GB2312" w:cs="仿宋_GB2312"/>
                <w:bCs/>
                <w:color w:val="auto"/>
                <w:sz w:val="24"/>
                <w:highlight w:val="none"/>
                <w:lang w:eastAsia="zh-CN"/>
              </w:rPr>
              <w:t>量</w:t>
            </w:r>
            <w:r>
              <w:rPr>
                <w:rFonts w:hint="eastAsia" w:ascii="仿宋_GB2312" w:hAnsi="仿宋_GB2312" w:eastAsia="仿宋_GB2312" w:cs="仿宋_GB2312"/>
                <w:bCs/>
                <w:color w:val="auto"/>
                <w:sz w:val="24"/>
                <w:highlight w:val="none"/>
              </w:rPr>
              <w:t>显示不准确）</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trPr>
        <w:tc>
          <w:tcPr>
            <w:tcW w:w="439" w:type="pct"/>
            <w:noWrap w:val="0"/>
            <w:vAlign w:val="center"/>
          </w:tcPr>
          <w:p>
            <w:pPr>
              <w:keepNext w:val="0"/>
              <w:keepLines w:val="0"/>
              <w:suppressLineNumbers w:val="0"/>
              <w:spacing w:before="0" w:beforeAutospacing="0" w:after="0" w:afterAutospacing="0" w:line="240" w:lineRule="auto"/>
              <w:ind w:left="0" w:right="0"/>
              <w:jc w:val="center"/>
              <w:rPr>
                <w:rFonts w:hint="default" w:ascii="仿宋_GB2312" w:hAnsi="仿宋_GB2312" w:eastAsia="仿宋_GB2312" w:cs="仿宋_GB2312"/>
                <w:bCs/>
                <w:color w:val="auto"/>
                <w:sz w:val="24"/>
                <w:highlight w:val="none"/>
                <w:lang w:val="en-US" w:eastAsia="zh-CN"/>
              </w:rPr>
            </w:pPr>
            <w:r>
              <w:rPr>
                <w:rFonts w:hint="eastAsia" w:ascii="仿宋_GB2312" w:hAnsi="仿宋_GB2312" w:eastAsia="仿宋_GB2312" w:cs="仿宋_GB2312"/>
                <w:bCs/>
                <w:color w:val="auto"/>
                <w:sz w:val="24"/>
                <w:highlight w:val="none"/>
                <w:lang w:val="en-US" w:eastAsia="zh-CN"/>
              </w:rPr>
              <w:t>20</w:t>
            </w:r>
          </w:p>
        </w:tc>
        <w:tc>
          <w:tcPr>
            <w:tcW w:w="3529" w:type="pct"/>
            <w:gridSpan w:val="2"/>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lang w:eastAsia="zh-CN"/>
              </w:rPr>
              <w:t>车辆年检</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trPr>
        <w:tc>
          <w:tcPr>
            <w:tcW w:w="3968" w:type="pct"/>
            <w:gridSpan w:val="3"/>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
                <w:bCs w:val="0"/>
                <w:color w:val="auto"/>
                <w:sz w:val="24"/>
                <w:highlight w:val="none"/>
                <w:lang w:eastAsia="zh-CN"/>
              </w:rPr>
              <w:t>合计（</w:t>
            </w:r>
            <w:r>
              <w:rPr>
                <w:rFonts w:hint="eastAsia" w:ascii="仿宋_GB2312" w:hAnsi="仿宋_GB2312" w:eastAsia="仿宋_GB2312" w:cs="仿宋_GB2312"/>
                <w:b/>
                <w:bCs w:val="0"/>
                <w:color w:val="auto"/>
                <w:sz w:val="24"/>
                <w:highlight w:val="none"/>
                <w:lang w:val="en-US" w:eastAsia="zh-CN"/>
              </w:rPr>
              <w:t>即报价表综合含税总报价</w:t>
            </w:r>
            <w:r>
              <w:rPr>
                <w:rFonts w:hint="eastAsia" w:ascii="仿宋_GB2312" w:hAnsi="仿宋_GB2312" w:eastAsia="仿宋_GB2312" w:cs="仿宋_GB2312"/>
                <w:b/>
                <w:bCs w:val="0"/>
                <w:color w:val="auto"/>
                <w:sz w:val="24"/>
                <w:highlight w:val="none"/>
                <w:lang w:eastAsia="zh-CN"/>
              </w:rPr>
              <w:t>）</w:t>
            </w:r>
          </w:p>
        </w:tc>
        <w:tc>
          <w:tcPr>
            <w:tcW w:w="1031" w:type="pct"/>
            <w:noWrap w:val="0"/>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p>
        </w:tc>
      </w:tr>
    </w:tbl>
    <w:p>
      <w:pPr>
        <w:pStyle w:val="2"/>
        <w:rPr>
          <w:rFonts w:hint="eastAsia"/>
          <w:lang w:eastAsia="zh-CN"/>
        </w:rPr>
      </w:pPr>
    </w:p>
    <w:p>
      <w:pPr>
        <w:spacing w:line="360" w:lineRule="auto"/>
        <w:jc w:val="both"/>
        <w:rPr>
          <w:rFonts w:hint="eastAsia" w:ascii="仿宋_GB2312" w:hAnsi="仿宋_GB2312" w:eastAsia="仿宋_GB2312" w:cs="仿宋_GB2312"/>
          <w:color w:val="auto"/>
          <w:sz w:val="24"/>
          <w:lang w:eastAsia="zh-CN"/>
        </w:rPr>
      </w:pPr>
      <w:r>
        <w:rPr>
          <w:rFonts w:hint="eastAsia" w:ascii="仿宋_GB2312" w:hAnsi="仿宋_GB2312" w:eastAsia="仿宋_GB2312" w:cs="仿宋_GB2312"/>
          <w:b/>
          <w:bCs/>
          <w:color w:val="auto"/>
          <w:sz w:val="24"/>
          <w:lang w:eastAsia="zh-CN"/>
        </w:rPr>
        <w:t>注</w:t>
      </w:r>
      <w:r>
        <w:rPr>
          <w:rFonts w:hint="eastAsia" w:ascii="仿宋_GB2312" w:hAnsi="仿宋_GB2312" w:eastAsia="仿宋_GB2312" w:cs="仿宋_GB2312"/>
          <w:color w:val="auto"/>
          <w:sz w:val="24"/>
          <w:lang w:eastAsia="zh-CN"/>
        </w:rPr>
        <w:t>：</w:t>
      </w:r>
    </w:p>
    <w:p>
      <w:pPr>
        <w:numPr>
          <w:ilvl w:val="-1"/>
          <w:numId w:val="0"/>
        </w:numPr>
        <w:spacing w:line="360" w:lineRule="auto"/>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b w:val="0"/>
          <w:bCs w:val="0"/>
          <w:sz w:val="24"/>
          <w:lang w:eastAsia="zh-CN"/>
        </w:rPr>
        <w:t>报价有效期为报价截止之日起</w:t>
      </w:r>
      <w:r>
        <w:rPr>
          <w:rFonts w:hint="eastAsia" w:ascii="仿宋_GB2312" w:hAnsi="仿宋_GB2312" w:eastAsia="仿宋_GB2312" w:cs="仿宋_GB2312"/>
          <w:b w:val="0"/>
          <w:bCs w:val="0"/>
          <w:sz w:val="24"/>
          <w:lang w:val="en-US" w:eastAsia="zh-CN"/>
        </w:rPr>
        <w:t>90天（到期日为周末或法定节假日的，顺延至下一个工作日）。</w:t>
      </w:r>
    </w:p>
    <w:p>
      <w:pPr>
        <w:numPr>
          <w:ilvl w:val="0"/>
          <w:numId w:val="0"/>
        </w:numPr>
        <w:spacing w:line="360" w:lineRule="auto"/>
        <w:jc w:val="both"/>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kern w:val="2"/>
          <w:sz w:val="24"/>
          <w:szCs w:val="24"/>
          <w:lang w:val="en-US" w:eastAsia="zh-CN"/>
        </w:rPr>
        <w:t>2、非报价单位法定代表人亲自报价的，应提供授权委托书（经法定代表人签字并加盖公司公章，授权范围应至少包括报价、谈判、签订合同）。</w:t>
      </w:r>
    </w:p>
    <w:p>
      <w:pPr>
        <w:pStyle w:val="2"/>
        <w:rPr>
          <w:rFonts w:hint="default"/>
          <w:lang w:val="en-US" w:eastAsia="zh-CN"/>
        </w:rPr>
      </w:pPr>
      <w:r>
        <w:rPr>
          <w:rFonts w:hint="eastAsia" w:ascii="仿宋_GB2312" w:hAnsi="仿宋_GB2312" w:eastAsia="仿宋_GB2312" w:cs="仿宋_GB2312"/>
          <w:kern w:val="2"/>
          <w:sz w:val="24"/>
          <w:szCs w:val="24"/>
          <w:lang w:val="en-US" w:eastAsia="zh-CN"/>
        </w:rPr>
        <w:t>3、所有报价均包含25T吊车维修维保及年检所产生的工时费。</w:t>
      </w:r>
    </w:p>
    <w:p>
      <w:pPr>
        <w:pStyle w:val="4"/>
        <w:numPr>
          <w:ilvl w:val="0"/>
          <w:numId w:val="0"/>
        </w:numPr>
        <w:spacing w:line="360" w:lineRule="auto"/>
        <w:rPr>
          <w:rFonts w:hint="eastAsia" w:ascii="仿宋_GB2312" w:hAnsi="仿宋_GB2312" w:eastAsia="仿宋_GB2312" w:cs="仿宋_GB2312"/>
          <w:szCs w:val="24"/>
          <w:lang w:eastAsia="zh-CN"/>
        </w:rPr>
      </w:pPr>
      <w:r>
        <w:rPr>
          <w:rFonts w:hint="eastAsia" w:ascii="仿宋_GB2312" w:hAnsi="仿宋_GB2312" w:eastAsia="仿宋_GB2312" w:cs="仿宋_GB2312"/>
          <w:b/>
          <w:bCs/>
          <w:sz w:val="24"/>
          <w:szCs w:val="24"/>
          <w:lang w:eastAsia="zh-CN"/>
        </w:rPr>
        <w:t>一、</w:t>
      </w:r>
      <w:r>
        <w:rPr>
          <w:rFonts w:hint="eastAsia" w:ascii="仿宋_GB2312" w:hAnsi="仿宋_GB2312" w:eastAsia="仿宋_GB2312" w:cs="仿宋_GB2312"/>
          <w:b/>
          <w:bCs/>
          <w:sz w:val="24"/>
          <w:szCs w:val="24"/>
        </w:rPr>
        <w:t>项目说明</w:t>
      </w:r>
      <w:r>
        <w:rPr>
          <w:rFonts w:hint="eastAsia" w:ascii="仿宋_GB2312" w:hAnsi="仿宋_GB2312" w:eastAsia="仿宋_GB2312" w:cs="仿宋_GB2312"/>
          <w:b/>
          <w:bCs/>
          <w:sz w:val="24"/>
          <w:szCs w:val="24"/>
          <w:lang w:eastAsia="zh-CN"/>
        </w:rPr>
        <w:t>（实质性条款）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1.付款方式：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 乙方完成甲方委托的25T吊车检修及年检工作并通过甲方组织的验收合格，经甲方书面确认；乙方开具合同结算金额100%的增值税专用发票后30日内，甲方向乙方支付合同结算金额的90%；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合同结算金额的10％为质保金。质保期满6个月（自项目竣工验收之日起算）并经甲方相关部门确认无质量问题、无合同纠纷的，乙方向甲方提交付款申请单且出具相应金额的收据后30日内，甲方向乙方支付合同结算金额10%的质保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1.3甲方向乙方支付相应价款时，有权扣除乙方被甲方考核的费用。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本项目涉及维修费、施工费、技术服务费、人工费、方案费、机具费、措施费、运输费、管理费、利润、保险费、安全生产费、职业病预防治费、风险费以及其他政策性文件规定的费用、进场费等完成本项目全部工作所需的全部费用均包含在“</w:t>
      </w:r>
      <w:r>
        <w:rPr>
          <w:rFonts w:hint="eastAsia" w:ascii="仿宋_GB2312" w:hAnsi="仿宋_GB2312" w:eastAsia="仿宋_GB2312" w:cs="仿宋_GB2312"/>
          <w:b w:val="0"/>
          <w:bCs/>
          <w:sz w:val="24"/>
          <w:lang w:eastAsia="zh-CN"/>
        </w:rPr>
        <w:t>综合含税总价</w:t>
      </w:r>
      <w:r>
        <w:rPr>
          <w:rFonts w:hint="eastAsia" w:ascii="仿宋_GB2312" w:hAnsi="仿宋_GB2312" w:eastAsia="仿宋_GB2312" w:cs="仿宋_GB2312"/>
          <w:sz w:val="24"/>
          <w:szCs w:val="24"/>
          <w:lang w:eastAsia="zh-CN"/>
        </w:rPr>
        <w:t>”金额里。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乙方派驻甲方现场的所有人员的食宿由其自行解决，相关费用由乙方承担。</w:t>
      </w:r>
    </w:p>
    <w:p>
      <w:pPr>
        <w:adjustRightInd/>
        <w:spacing w:line="360" w:lineRule="auto"/>
        <w:ind w:firstLine="480" w:firstLineChars="2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乙方派驻甲方现场所有人员均身体健康，出现任何事宜，乙方将承担相应责任及后果。</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二</w:t>
      </w:r>
      <w:r>
        <w:rPr>
          <w:rFonts w:hint="eastAsia" w:ascii="仿宋_GB2312" w:hAnsi="仿宋_GB2312" w:eastAsia="仿宋_GB2312" w:cs="仿宋_GB2312"/>
          <w:b/>
          <w:bCs/>
          <w:sz w:val="24"/>
          <w:szCs w:val="24"/>
        </w:rPr>
        <w:t>、项目要求</w:t>
      </w:r>
      <w:r>
        <w:rPr>
          <w:rFonts w:hint="eastAsia" w:ascii="仿宋_GB2312" w:hAnsi="仿宋_GB2312" w:eastAsia="仿宋_GB2312" w:cs="仿宋_GB2312"/>
          <w:b/>
          <w:bCs/>
          <w:sz w:val="24"/>
          <w:szCs w:val="24"/>
          <w:lang w:eastAsia="zh-CN"/>
        </w:rPr>
        <w:t>（实质性条款）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1.时间要求：25T吊车所有检修项目及年检工作须在2024年4月30日前完成，具体时间可根据甲方现场实际情况进行安排。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工作范围及工作要求：完成竞争性谈判公告“项目概况”所列故障及隐患的修复，并对25T吊车进行全面检查和维护保养，提供项目维护保养工作所需全部材料、零部件、工器具，确保吊车达到正常使用状态并经甲方验收合格，并负责办理甲方25T吊车的年检工作，保证甲方25T吊车通过车管所2024年年检。</w:t>
      </w:r>
    </w:p>
    <w:p>
      <w:pPr>
        <w:pStyle w:val="2"/>
        <w:spacing w:line="360" w:lineRule="auto"/>
        <w:ind w:firstLine="520" w:firstLineChars="200"/>
        <w:rPr>
          <w:rFonts w:hint="default"/>
          <w:lang w:val="en-US" w:eastAsia="zh-CN"/>
        </w:rPr>
      </w:pPr>
      <w:r>
        <w:rPr>
          <w:rFonts w:hint="eastAsia" w:ascii="仿宋_GB2312" w:hAnsi="仿宋_GB2312" w:eastAsia="仿宋_GB2312" w:cs="仿宋_GB2312"/>
          <w:sz w:val="24"/>
          <w:szCs w:val="24"/>
          <w:lang w:val="en-US" w:eastAsia="zh-CN"/>
        </w:rPr>
        <w:t>3.质保要求：25T吊车维修质保期为6个月（自项目竣工验收之日起算），在质保期内如25T吊车本次维修项目出现故障，由乙方免费修理并免费更换配件。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乙方应知悉本项目存在的各种风险和甲方安全作业管理要求。对电工作业、焊接与热切割作业、高处作业等涉及《特种作业目录》内的特种作业人员，应持有应急管理部门所发的《特种作业操作证》；对涉及特种设备操作的人员，应持有市场监督管理局所发的《特种设备作业人员证》（持有的特种作业操作证、特种设备作业人员证应在应急管理部或国家市场监督管理总局平台可查询）。履行合同期间，应严格执行国家有关安全生产、环境保护、职业健康、水土保持等方面的有关法律法规、规定，应及时主动了解并应严格遵守甲方《工程质量规范书》《检修管理协议》《技术协议》《安全管理协议》《环保管理协议》《检修质量、进度考核实施细则》以及其他相关管理制度要求（包括甲方已发布和合同期内新发布的所有规章制度），甲方有权按相关协议、制度对乙方违反甲方管理制度规定的行为进行考核。</w:t>
      </w:r>
    </w:p>
    <w:p>
      <w:pPr>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三</w:t>
      </w:r>
      <w:r>
        <w:rPr>
          <w:rFonts w:hint="eastAsia" w:ascii="仿宋_GB2312" w:hAnsi="仿宋_GB2312" w:eastAsia="仿宋_GB2312" w:cs="仿宋_GB2312"/>
          <w:b/>
          <w:bCs/>
          <w:sz w:val="24"/>
          <w:szCs w:val="24"/>
        </w:rPr>
        <w:t>、</w:t>
      </w:r>
      <w:r>
        <w:rPr>
          <w:rFonts w:hint="eastAsia" w:ascii="仿宋_GB2312" w:hAnsi="仿宋_GB2312" w:eastAsia="仿宋_GB2312" w:cs="仿宋_GB2312"/>
          <w:b/>
          <w:bCs/>
          <w:sz w:val="24"/>
          <w:szCs w:val="24"/>
          <w:lang w:eastAsia="zh-CN"/>
        </w:rPr>
        <w:t>违约责任（实质性条款）</w:t>
      </w:r>
    </w:p>
    <w:p>
      <w:pPr>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1.乙方未按照合同履行义务，给甲方造成损失的，乙方应承担损害赔偿责任。</w:t>
      </w:r>
    </w:p>
    <w:p>
      <w:pPr>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2.乙方到期未完成本项目维修保养工作和年检工作的，甲方有权解除本项目合同且不向乙方支付任何费用。</w:t>
      </w:r>
    </w:p>
    <w:p>
      <w:pPr>
        <w:spacing w:line="360" w:lineRule="auto"/>
        <w:ind w:firstLine="481"/>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甲乙双方应按照合同约定完全履行本合同约定的义务，若一方未履行本合同义务，出现《民法典》第563条规定的情形的，守约方有权解除本合同（合同自解除通知到达相对方经营场所之日起解除），违约方应当向守约方赔偿因此造成的经济损失。</w:t>
      </w:r>
    </w:p>
    <w:p>
      <w:pPr>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四、评选规则</w:t>
      </w:r>
    </w:p>
    <w:p>
      <w:pPr>
        <w:spacing w:line="360" w:lineRule="auto"/>
        <w:ind w:firstLine="480" w:firstLineChars="200"/>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lang w:eastAsia="zh-CN"/>
        </w:rPr>
        <w:t>川南发电公司将于报价截止后对报价人资质进行符合性审查，审查后确定项目报价竞争充分的，川南发电将对通过符合性审查的报价人的最终价格由低到高排序，价低者优先中选。</w:t>
      </w:r>
    </w:p>
    <w:p>
      <w:pPr>
        <w:pStyle w:val="2"/>
        <w:spacing w:line="360" w:lineRule="auto"/>
        <w:ind w:firstLine="522" w:firstLineChars="200"/>
        <w:rPr>
          <w:rFonts w:hint="eastAsia"/>
          <w:b/>
          <w:lang w:eastAsia="zh-CN"/>
        </w:rPr>
      </w:pPr>
      <w:r>
        <w:rPr>
          <w:rFonts w:hint="eastAsia" w:ascii="仿宋_GB2312" w:hAnsi="仿宋_GB2312" w:eastAsia="仿宋_GB2312" w:cs="仿宋_GB2312"/>
          <w:b/>
          <w:bCs/>
          <w:sz w:val="24"/>
          <w:szCs w:val="24"/>
          <w:lang w:val="en-US" w:eastAsia="zh-CN"/>
        </w:rPr>
        <w:t>2.</w:t>
      </w:r>
      <w:r>
        <w:rPr>
          <w:rFonts w:hint="eastAsia" w:ascii="仿宋_GB2312" w:hAnsi="仿宋_GB2312" w:eastAsia="仿宋_GB2312" w:cs="仿宋_GB2312"/>
          <w:b/>
          <w:bCs/>
          <w:sz w:val="24"/>
          <w:szCs w:val="24"/>
          <w:lang w:eastAsia="zh-CN"/>
        </w:rPr>
        <w:t>中选人收到川南发电公司中选通知书的，应当与川南发电公司签订项目书面合同，且不得对项目合同实质性条款作出实质性修改，否则川南发电公司有权取消其中选资格，川南发电公司将根据项目情况和评审结果确定下一顺位报价人为中选人或重新组织项目采购。</w:t>
      </w:r>
    </w:p>
    <w:p>
      <w:pPr>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五</w:t>
      </w:r>
      <w:r>
        <w:rPr>
          <w:rFonts w:hint="eastAsia" w:ascii="仿宋_GB2312" w:hAnsi="仿宋_GB2312" w:eastAsia="仿宋_GB2312" w:cs="仿宋_GB2312"/>
          <w:b/>
          <w:bCs/>
          <w:sz w:val="24"/>
          <w:szCs w:val="24"/>
        </w:rPr>
        <w:t>、</w:t>
      </w:r>
      <w:r>
        <w:rPr>
          <w:rFonts w:hint="eastAsia" w:ascii="仿宋_GB2312" w:hAnsi="仿宋_GB2312" w:eastAsia="仿宋_GB2312" w:cs="仿宋_GB2312"/>
          <w:b/>
          <w:bCs/>
          <w:sz w:val="24"/>
          <w:szCs w:val="24"/>
          <w:lang w:eastAsia="zh-CN"/>
        </w:rPr>
        <w:t>其他说明：</w:t>
      </w:r>
    </w:p>
    <w:p>
      <w:pPr>
        <w:rPr>
          <w:rFonts w:hint="eastAsia" w:ascii="仿宋_GB2312" w:hAnsi="仿宋_GB2312" w:eastAsia="仿宋_GB2312" w:cs="仿宋_GB2312"/>
          <w:b/>
          <w:bCs/>
          <w:sz w:val="24"/>
          <w:szCs w:val="24"/>
          <w:lang w:eastAsia="zh-CN"/>
        </w:rPr>
      </w:pPr>
    </w:p>
    <w:p>
      <w:pPr>
        <w:rPr>
          <w:rFonts w:hint="eastAsia" w:ascii="仿宋_GB2312" w:hAnsi="仿宋_GB2312" w:eastAsia="仿宋_GB2312" w:cs="仿宋_GB2312"/>
          <w:b/>
          <w:bCs/>
          <w:sz w:val="24"/>
          <w:szCs w:val="24"/>
          <w:lang w:eastAsia="zh-CN"/>
        </w:rPr>
      </w:pPr>
    </w:p>
    <w:p>
      <w:pPr>
        <w:rPr>
          <w:rFonts w:hint="eastAsia" w:ascii="仿宋_GB2312" w:hAnsi="仿宋_GB2312" w:eastAsia="仿宋_GB2312" w:cs="仿宋_GB2312"/>
          <w:b/>
          <w:bCs/>
          <w:sz w:val="24"/>
          <w:szCs w:val="24"/>
          <w:lang w:eastAsia="zh-CN"/>
        </w:rPr>
      </w:pPr>
    </w:p>
    <w:p>
      <w:pPr>
        <w:rPr>
          <w:rFonts w:hint="eastAsia" w:ascii="仿宋_GB2312" w:hAnsi="仿宋_GB2312" w:eastAsia="仿宋_GB2312" w:cs="仿宋_GB2312"/>
          <w:b/>
          <w:bCs/>
          <w:sz w:val="24"/>
          <w:szCs w:val="24"/>
          <w:lang w:eastAsia="zh-CN"/>
        </w:rPr>
      </w:pPr>
    </w:p>
    <w:p>
      <w:pPr>
        <w:rPr>
          <w:rFonts w:hint="eastAsia" w:ascii="仿宋_GB2312" w:hAnsi="仿宋_GB2312" w:eastAsia="仿宋_GB2312" w:cs="仿宋_GB2312"/>
          <w:b/>
          <w:bCs/>
          <w:sz w:val="24"/>
          <w:szCs w:val="24"/>
          <w:lang w:eastAsia="zh-CN"/>
        </w:rPr>
      </w:pPr>
    </w:p>
    <w:p>
      <w:pPr>
        <w:jc w:val="righ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乙方：施 工 单 位 名 称（盖公司专用章）</w:t>
      </w:r>
    </w:p>
    <w:p>
      <w:pPr>
        <w:ind w:firstLine="6000" w:firstLineChars="2500"/>
        <w:jc w:val="righ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w:t>
      </w:r>
    </w:p>
    <w:p>
      <w:pPr>
        <w:ind w:firstLine="5040" w:firstLineChars="21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年    月    日   </w:t>
      </w:r>
    </w:p>
    <w:p>
      <w:pPr>
        <w:numPr>
          <w:ilvl w:val="0"/>
          <w:numId w:val="0"/>
        </w:numPr>
        <w:jc w:val="both"/>
        <w:rPr>
          <w:rFonts w:hint="eastAsia" w:ascii="仿宋_GB2312" w:hAnsi="仿宋_GB2312" w:eastAsia="仿宋_GB2312" w:cs="仿宋_GB2312"/>
          <w:b w:val="0"/>
          <w:bCs w:val="0"/>
          <w:sz w:val="24"/>
          <w:szCs w:val="24"/>
          <w:lang w:val="en-US" w:eastAsia="zh-CN"/>
        </w:rPr>
      </w:pPr>
    </w:p>
    <w:p>
      <w:pPr>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r>
        <w:rPr>
          <w:rFonts w:hint="eastAsia" w:ascii="方正小标宋简体" w:hAnsi="方正小标宋简体" w:eastAsia="方正小标宋简体" w:cs="方正小标宋简体"/>
          <w:bCs/>
          <w:sz w:val="44"/>
          <w:szCs w:val="44"/>
          <w:lang w:val="zh-CN"/>
        </w:rPr>
        <w:t>法定代表人</w:t>
      </w:r>
      <w:bookmarkStart w:id="11" w:name="_GoBack"/>
      <w:bookmarkEnd w:id="11"/>
      <w:r>
        <w:rPr>
          <w:rFonts w:hint="eastAsia" w:ascii="方正小标宋简体" w:hAnsi="方正小标宋简体" w:eastAsia="方正小标宋简体" w:cs="方正小标宋简体"/>
          <w:bCs/>
          <w:sz w:val="44"/>
          <w:szCs w:val="44"/>
          <w:lang w:val="zh-CN"/>
        </w:rPr>
        <w:t>身份证明</w:t>
      </w:r>
    </w:p>
    <w:p>
      <w:pPr>
        <w:widowControl/>
        <w:spacing w:line="360" w:lineRule="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报价人名称：</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(单位名称）</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地址：</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（单位地址）</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成立时间：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经营期限：</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r>
        <w:rPr>
          <w:rFonts w:hint="eastAsia" w:ascii="仿宋_GB2312" w:hAnsi="仿宋_GB2312" w:eastAsia="仿宋_GB2312" w:cs="仿宋_GB2312"/>
          <w:sz w:val="24"/>
          <w:u w:val="single"/>
        </w:rPr>
        <w:t xml:space="preserve">至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姓名：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性别：</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年龄：</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职务：</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系</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（报价人名称）的法定代表人。</w:t>
      </w:r>
    </w:p>
    <w:p>
      <w:pPr>
        <w:keepNext w:val="0"/>
        <w:keepLines w:val="0"/>
        <w:pageBreakBefore w:val="0"/>
        <w:widowControl/>
        <w:kinsoku/>
        <w:wordWrap/>
        <w:overflowPunct/>
        <w:topLinePunct w:val="0"/>
        <w:autoSpaceDE/>
        <w:autoSpaceDN/>
        <w:bidi w:val="0"/>
        <w:adjustRightInd/>
        <w:spacing w:line="440" w:lineRule="exact"/>
        <w:ind w:firstLine="960" w:firstLineChars="4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特此证明。</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附：法定代表人身份证复印件</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1" w:hRule="atLeast"/>
          <w:jc w:val="center"/>
        </w:trPr>
        <w:tc>
          <w:tcPr>
            <w:tcW w:w="4819"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156" w:beforeLines="50" w:beforeAutospacing="0" w:after="156" w:afterLines="50" w:afterAutospacing="0" w:line="440" w:lineRule="exact"/>
              <w:ind w:left="0" w:right="0"/>
              <w:jc w:val="center"/>
              <w:textAlignment w:val="auto"/>
              <w:rPr>
                <w:rFonts w:hint="eastAsia" w:ascii="仿宋_GB2312" w:hAnsi="仿宋_GB2312" w:eastAsia="仿宋_GB2312" w:cs="仿宋_GB2312"/>
                <w:sz w:val="24"/>
              </w:rPr>
            </w:pPr>
            <w:bookmarkStart w:id="0" w:name="_Toc466626700"/>
            <w:bookmarkStart w:id="1" w:name="_Toc460953405"/>
            <w:bookmarkStart w:id="2" w:name="_Toc460953751"/>
            <w:bookmarkStart w:id="3" w:name="_Toc466624757"/>
            <w:bookmarkStart w:id="4" w:name="_Toc466443899"/>
            <w:r>
              <w:rPr>
                <w:rFonts w:hint="eastAsia" w:ascii="仿宋_GB2312" w:hAnsi="仿宋_GB2312" w:eastAsia="仿宋_GB2312" w:cs="仿宋_GB2312"/>
                <w:sz w:val="24"/>
              </w:rPr>
              <w:t>法定代表人身份证复印件正面</w:t>
            </w:r>
            <w:bookmarkEnd w:id="0"/>
            <w:bookmarkEnd w:id="1"/>
            <w:bookmarkEnd w:id="2"/>
            <w:bookmarkEnd w:id="3"/>
            <w:bookmarkEnd w:id="4"/>
          </w:p>
        </w:tc>
        <w:tc>
          <w:tcPr>
            <w:tcW w:w="4819"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156" w:beforeLines="50" w:beforeAutospacing="0" w:after="156" w:afterLines="50" w:afterAutospacing="0" w:line="440" w:lineRule="exact"/>
              <w:ind w:left="0" w:right="0"/>
              <w:jc w:val="center"/>
              <w:textAlignment w:val="auto"/>
              <w:rPr>
                <w:rFonts w:hint="eastAsia" w:ascii="仿宋_GB2312" w:hAnsi="仿宋_GB2312" w:eastAsia="仿宋_GB2312" w:cs="仿宋_GB2312"/>
                <w:sz w:val="24"/>
              </w:rPr>
            </w:pPr>
            <w:bookmarkStart w:id="5" w:name="_Toc466626701"/>
            <w:bookmarkStart w:id="6" w:name="_Toc460953406"/>
            <w:bookmarkStart w:id="7" w:name="_Toc460953752"/>
            <w:bookmarkStart w:id="8" w:name="_Toc466443900"/>
            <w:bookmarkStart w:id="9" w:name="_Toc466624758"/>
            <w:r>
              <w:rPr>
                <w:rFonts w:hint="eastAsia" w:ascii="仿宋_GB2312" w:hAnsi="仿宋_GB2312" w:eastAsia="仿宋_GB2312" w:cs="仿宋_GB2312"/>
                <w:sz w:val="24"/>
              </w:rPr>
              <w:t>法定代表人身份证复印件反面</w:t>
            </w:r>
            <w:bookmarkEnd w:id="5"/>
            <w:bookmarkEnd w:id="6"/>
            <w:bookmarkEnd w:id="7"/>
            <w:bookmarkEnd w:id="8"/>
            <w:bookmarkEnd w:id="9"/>
          </w:p>
        </w:tc>
      </w:tr>
    </w:tbl>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3600" w:firstLineChars="15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报价人：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（盖单位</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lang w:val="en-US" w:eastAsia="zh-CN"/>
        </w:rPr>
        <w:t>/专用章</w:t>
      </w:r>
      <w:r>
        <w:rPr>
          <w:rFonts w:hint="eastAsia" w:ascii="仿宋_GB2312" w:hAnsi="仿宋_GB2312" w:eastAsia="仿宋_GB2312" w:cs="仿宋_GB2312"/>
          <w:sz w:val="24"/>
        </w:rPr>
        <w:t>）</w:t>
      </w:r>
    </w:p>
    <w:p>
      <w:pPr>
        <w:keepNext w:val="0"/>
        <w:keepLines w:val="0"/>
        <w:pageBreakBefore w:val="0"/>
        <w:widowControl/>
        <w:kinsoku/>
        <w:wordWrap/>
        <w:overflowPunct/>
        <w:topLinePunct w:val="0"/>
        <w:autoSpaceDE/>
        <w:autoSpaceDN/>
        <w:bidi w:val="0"/>
        <w:adjustRightInd/>
        <w:spacing w:line="440" w:lineRule="exact"/>
        <w:ind w:firstLine="5160" w:firstLineChars="2150"/>
        <w:textAlignment w:val="auto"/>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20" w:firstLineChars="20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注：适用于法定代表人亲自报价而不委托代理人报价</w:t>
      </w:r>
      <w:r>
        <w:rPr>
          <w:rFonts w:hint="eastAsia" w:ascii="仿宋_GB2312" w:hAnsi="仿宋_GB2312" w:eastAsia="仿宋_GB2312" w:cs="仿宋_GB2312"/>
          <w:szCs w:val="21"/>
          <w:lang w:eastAsia="zh-CN"/>
        </w:rPr>
        <w:t>，</w:t>
      </w:r>
      <w:r>
        <w:rPr>
          <w:rFonts w:hint="eastAsia" w:ascii="仿宋_GB2312" w:hAnsi="仿宋_GB2312" w:eastAsia="仿宋_GB2312" w:cs="仿宋_GB2312"/>
          <w:sz w:val="24"/>
        </w:rPr>
        <w:t>盖单位</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lang w:val="en-US" w:eastAsia="zh-CN"/>
        </w:rPr>
        <w:t>/专用章即视为报价人确认“复印件与原件核对一致”</w:t>
      </w:r>
      <w:r>
        <w:rPr>
          <w:rFonts w:hint="eastAsia" w:ascii="仿宋_GB2312" w:hAnsi="仿宋_GB2312" w:eastAsia="仿宋_GB2312" w:cs="仿宋_GB2312"/>
          <w:szCs w:val="21"/>
        </w:rPr>
        <w:t>。</w:t>
      </w:r>
    </w:p>
    <w:p>
      <w:pPr>
        <w:keepNext w:val="0"/>
        <w:keepLines w:val="0"/>
        <w:pageBreakBefore w:val="0"/>
        <w:widowControl/>
        <w:kinsoku/>
        <w:wordWrap/>
        <w:overflowPunct/>
        <w:topLinePunct w:val="0"/>
        <w:autoSpaceDE/>
        <w:autoSpaceDN/>
        <w:bidi w:val="0"/>
        <w:adjustRightInd/>
        <w:spacing w:line="240" w:lineRule="auto"/>
        <w:ind w:firstLine="0" w:firstLineChars="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br w:type="page"/>
      </w: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r>
        <w:rPr>
          <w:rFonts w:hint="eastAsia" w:ascii="方正小标宋简体" w:hAnsi="方正小标宋简体" w:eastAsia="方正小标宋简体" w:cs="方正小标宋简体"/>
          <w:bCs/>
          <w:sz w:val="44"/>
          <w:szCs w:val="44"/>
          <w:lang w:val="zh-CN"/>
        </w:rPr>
        <w:t>授权委托书</w:t>
      </w:r>
    </w:p>
    <w:p>
      <w:pPr>
        <w:widowControl/>
        <w:spacing w:line="360" w:lineRule="auto"/>
        <w:rPr>
          <w:rFonts w:hint="eastAsia" w:ascii="仿宋_GB2312" w:hAnsi="仿宋_GB2312" w:eastAsia="仿宋_GB2312" w:cs="仿宋_GB2312"/>
          <w:sz w:val="24"/>
        </w:rPr>
      </w:pPr>
    </w:p>
    <w:p>
      <w:pPr>
        <w:tabs>
          <w:tab w:val="left" w:pos="900"/>
        </w:tabs>
        <w:adjustRightInd w:val="0"/>
        <w:snapToGrid w:val="0"/>
        <w:spacing w:line="300" w:lineRule="auto"/>
        <w:ind w:firstLine="480" w:firstLineChars="200"/>
        <w:rPr>
          <w:rFonts w:hint="eastAsia" w:ascii="仿宋_GB2312" w:hAnsi="仿宋_GB2312" w:eastAsia="仿宋_GB2312" w:cs="仿宋_GB2312"/>
          <w:sz w:val="24"/>
          <w:u w:val="single"/>
        </w:rPr>
      </w:pPr>
      <w:r>
        <w:rPr>
          <w:rFonts w:hint="eastAsia" w:ascii="仿宋_GB2312" w:hAnsi="仿宋_GB2312" w:eastAsia="仿宋_GB2312" w:cs="仿宋_GB2312"/>
          <w:sz w:val="24"/>
        </w:rPr>
        <w:t>本人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（姓名）身份证号：</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系</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(报价人名称)的法定代表人，现授权</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(姓名)身份证号：</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为我方代理人。代理人以我方的名义签署、澄清、说明、补正、递交、撤回、修改</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（项目名称）响应文件、签订合同和处理有关事宜，其法律后果由我方承担。</w:t>
      </w:r>
    </w:p>
    <w:p>
      <w:pPr>
        <w:tabs>
          <w:tab w:val="left" w:pos="900"/>
        </w:tabs>
        <w:adjustRightInd w:val="0"/>
        <w:snapToGrid w:val="0"/>
        <w:spacing w:line="30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授权有效期：自本授权委托书签署之日起至本项目采购文件规定的“报价有效期”结束为止。</w:t>
      </w:r>
    </w:p>
    <w:p>
      <w:pPr>
        <w:widowControl/>
        <w:tabs>
          <w:tab w:val="left" w:pos="900"/>
        </w:tabs>
        <w:adjustRightInd w:val="0"/>
        <w:snapToGrid w:val="0"/>
        <w:spacing w:line="30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代理人无转委托权。</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附：</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86" w:hRule="atLeast"/>
          <w:jc w:val="center"/>
        </w:trPr>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法定代表人身份证复印件正面</w:t>
            </w:r>
          </w:p>
        </w:tc>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法定代表人身份证复印件反面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6" w:hRule="atLeast"/>
          <w:jc w:val="center"/>
        </w:trPr>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委托代理人身份证复印件正面</w:t>
            </w:r>
          </w:p>
        </w:tc>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委托代理人身份证复印件反面</w:t>
            </w:r>
          </w:p>
        </w:tc>
      </w:tr>
    </w:tbl>
    <w:p>
      <w:pPr>
        <w:widowControl/>
        <w:spacing w:line="360" w:lineRule="auto"/>
        <w:rPr>
          <w:rFonts w:hint="eastAsia" w:ascii="仿宋_GB2312" w:hAnsi="仿宋_GB2312" w:eastAsia="仿宋_GB2312" w:cs="仿宋_GB2312"/>
          <w:sz w:val="24"/>
          <w:lang w:eastAsia="zh-CN"/>
        </w:rPr>
      </w:pPr>
    </w:p>
    <w:p>
      <w:pPr>
        <w:widowControl/>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报价人：</w:t>
      </w:r>
      <w:r>
        <w:rPr>
          <w:rFonts w:hint="eastAsia" w:ascii="仿宋_GB2312" w:hAnsi="仿宋_GB2312" w:eastAsia="仿宋_GB2312" w:cs="仿宋_GB2312"/>
          <w:sz w:val="24"/>
          <w:u w:val="single"/>
        </w:rPr>
        <w:t xml:space="preserve">                      （盖单位</w:t>
      </w:r>
      <w:r>
        <w:rPr>
          <w:rFonts w:hint="eastAsia" w:ascii="仿宋_GB2312" w:hAnsi="仿宋_GB2312" w:eastAsia="仿宋_GB2312" w:cs="仿宋_GB2312"/>
          <w:sz w:val="24"/>
          <w:u w:val="single"/>
          <w:lang w:eastAsia="zh-CN"/>
        </w:rPr>
        <w:t>公</w:t>
      </w:r>
      <w:r>
        <w:rPr>
          <w:rFonts w:hint="eastAsia" w:ascii="仿宋_GB2312" w:hAnsi="仿宋_GB2312" w:eastAsia="仿宋_GB2312" w:cs="仿宋_GB2312"/>
          <w:sz w:val="24"/>
          <w:u w:val="single"/>
        </w:rPr>
        <w:t>章</w:t>
      </w:r>
      <w:r>
        <w:rPr>
          <w:rFonts w:hint="eastAsia" w:ascii="仿宋_GB2312" w:hAnsi="仿宋_GB2312" w:eastAsia="仿宋_GB2312" w:cs="仿宋_GB2312"/>
          <w:sz w:val="24"/>
          <w:u w:val="single"/>
          <w:lang w:val="en-US" w:eastAsia="zh-CN"/>
        </w:rPr>
        <w:t>/专用章</w:t>
      </w:r>
      <w:r>
        <w:rPr>
          <w:rFonts w:hint="eastAsia" w:ascii="仿宋_GB2312" w:hAnsi="仿宋_GB2312" w:eastAsia="仿宋_GB2312" w:cs="仿宋_GB2312"/>
          <w:sz w:val="24"/>
          <w:u w:val="single"/>
        </w:rPr>
        <w:t>）</w:t>
      </w:r>
    </w:p>
    <w:p>
      <w:pPr>
        <w:widowControl/>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法定代表人</w:t>
      </w:r>
      <w:r>
        <w:rPr>
          <w:rFonts w:hint="eastAsia" w:ascii="仿宋_GB2312" w:hAnsi="仿宋_GB2312" w:eastAsia="仿宋_GB2312" w:cs="仿宋_GB2312"/>
          <w:sz w:val="24"/>
          <w:lang w:eastAsia="zh-CN"/>
        </w:rPr>
        <w:t>（签字）</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p>
      <w:pPr>
        <w:widowControl/>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委托代理人</w:t>
      </w:r>
      <w:r>
        <w:rPr>
          <w:rFonts w:hint="eastAsia" w:ascii="仿宋_GB2312" w:hAnsi="仿宋_GB2312" w:eastAsia="仿宋_GB2312" w:cs="仿宋_GB2312"/>
          <w:sz w:val="24"/>
          <w:lang w:eastAsia="zh-CN"/>
        </w:rPr>
        <w:t>（签字）</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p>
      <w:pPr>
        <w:widowControl/>
        <w:spacing w:line="360" w:lineRule="auto"/>
        <w:ind w:right="-260" w:rightChars="-124"/>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联系电话：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p>
    <w:p>
      <w:pPr>
        <w:widowControl/>
        <w:spacing w:line="360" w:lineRule="auto"/>
        <w:ind w:firstLine="6480" w:firstLineChars="2700"/>
        <w:jc w:val="right"/>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widowControl/>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注：授权委托书适用于法定代表人不亲自报价而委托代理人报价</w:t>
      </w:r>
      <w:r>
        <w:rPr>
          <w:rFonts w:hint="eastAsia" w:ascii="仿宋_GB2312" w:hAnsi="仿宋_GB2312" w:eastAsia="仿宋_GB2312" w:cs="仿宋_GB2312"/>
          <w:szCs w:val="21"/>
          <w:lang w:eastAsia="zh-CN"/>
        </w:rPr>
        <w:t>，</w:t>
      </w:r>
      <w:r>
        <w:rPr>
          <w:rFonts w:hint="eastAsia" w:ascii="仿宋_GB2312" w:hAnsi="仿宋_GB2312" w:eastAsia="仿宋_GB2312" w:cs="仿宋_GB2312"/>
          <w:sz w:val="24"/>
        </w:rPr>
        <w:t>盖单位</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lang w:val="en-US" w:eastAsia="zh-CN"/>
        </w:rPr>
        <w:t>/专用章即视为报价人确认“复印件与原件核对一致”</w:t>
      </w:r>
      <w:r>
        <w:rPr>
          <w:rFonts w:hint="eastAsia" w:ascii="仿宋_GB2312" w:hAnsi="仿宋_GB2312" w:eastAsia="仿宋_GB2312" w:cs="仿宋_GB2312"/>
          <w:szCs w:val="21"/>
        </w:rPr>
        <w:t>。</w:t>
      </w:r>
    </w:p>
    <w:p>
      <w:pPr>
        <w:pStyle w:val="2"/>
      </w:pPr>
    </w:p>
    <w:p>
      <w:pPr>
        <w:pStyle w:val="2"/>
      </w:pPr>
    </w:p>
    <w:p>
      <w:pPr>
        <w:pStyle w:val="2"/>
      </w:pPr>
    </w:p>
    <w:p>
      <w:pPr>
        <w:pStyle w:val="2"/>
      </w:pPr>
    </w:p>
    <w:p>
      <w:pPr>
        <w:adjustRightInd w:val="0"/>
        <w:snapToGrid w:val="0"/>
        <w:jc w:val="center"/>
        <w:rPr>
          <w:rFonts w:hint="eastAsia" w:ascii="方正小标宋简体" w:hAnsi="方正小标宋简体" w:eastAsia="方正小标宋简体" w:cs="方正小标宋简体"/>
          <w:kern w:val="44"/>
          <w:sz w:val="44"/>
          <w:szCs w:val="44"/>
          <w:highlight w:val="yellow"/>
          <w:lang w:val="zh-CN"/>
        </w:rPr>
      </w:pPr>
      <w:r>
        <w:rPr>
          <w:rFonts w:hint="eastAsia" w:ascii="方正小标宋简体" w:hAnsi="方正小标宋简体" w:eastAsia="方正小标宋简体" w:cs="方正小标宋简体"/>
          <w:kern w:val="44"/>
          <w:sz w:val="44"/>
          <w:szCs w:val="44"/>
          <w:lang w:val="zh-CN"/>
        </w:rPr>
        <w:t>承诺书</w:t>
      </w:r>
    </w:p>
    <w:p>
      <w:pPr>
        <w:adjustRightInd w:val="0"/>
        <w:snapToGrid w:val="0"/>
        <w:spacing w:line="300" w:lineRule="auto"/>
        <w:rPr>
          <w:rFonts w:hint="eastAsia" w:ascii="仿宋_GB2312" w:hAnsi="仿宋_GB2312" w:eastAsia="仿宋_GB2312" w:cs="仿宋_GB2312"/>
          <w:sz w:val="24"/>
          <w:highlight w:val="yellow"/>
        </w:rPr>
      </w:pPr>
    </w:p>
    <w:p>
      <w:pPr>
        <w:adjustRightInd w:val="0"/>
        <w:snapToGrid w:val="0"/>
        <w:spacing w:line="300" w:lineRule="auto"/>
        <w:rPr>
          <w:rFonts w:hint="eastAsia" w:ascii="仿宋_GB2312" w:hAnsi="仿宋_GB2312" w:eastAsia="仿宋_GB2312" w:cs="仿宋_GB2312"/>
          <w:b/>
          <w:sz w:val="24"/>
        </w:rPr>
      </w:pPr>
      <w:r>
        <w:rPr>
          <w:rFonts w:hint="eastAsia" w:ascii="宋体" w:hAnsi="宋体" w:cs="Arial"/>
          <w:b/>
          <w:sz w:val="24"/>
        </w:rPr>
        <w:t>致：</w:t>
      </w:r>
      <w:r>
        <w:rPr>
          <w:rFonts w:hint="eastAsia" w:ascii="仿宋_GB2312" w:hAnsi="仿宋_GB2312" w:eastAsia="仿宋_GB2312" w:cs="仿宋_GB2312"/>
          <w:sz w:val="24"/>
          <w:u w:val="single"/>
          <w:lang w:eastAsia="zh-CN"/>
        </w:rPr>
        <w:t>四川泸州川南发电有限责任公司</w:t>
      </w:r>
      <w:r>
        <w:rPr>
          <w:rFonts w:hint="eastAsia" w:ascii="仿宋_GB2312" w:hAnsi="仿宋_GB2312" w:eastAsia="仿宋_GB2312" w:cs="仿宋_GB2312"/>
          <w:b/>
          <w:sz w:val="24"/>
        </w:rPr>
        <w:t>：</w:t>
      </w:r>
    </w:p>
    <w:p>
      <w:pPr>
        <w:numPr>
          <w:ilvl w:val="0"/>
          <w:numId w:val="0"/>
        </w:numPr>
        <w:tabs>
          <w:tab w:val="left" w:pos="900"/>
        </w:tabs>
        <w:adjustRightInd w:val="0"/>
        <w:snapToGrid w:val="0"/>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我公司已充分了解</w:t>
      </w:r>
      <w:r>
        <w:rPr>
          <w:rFonts w:hint="eastAsia" w:ascii="仿宋_GB2312" w:hAnsi="仿宋_GB2312" w:eastAsia="仿宋_GB2312" w:cs="仿宋_GB2312"/>
          <w:sz w:val="24"/>
        </w:rPr>
        <w:t>25T吊车维保及年检项目</w:t>
      </w:r>
      <w:r>
        <w:rPr>
          <w:rFonts w:hint="eastAsia" w:ascii="仿宋_GB2312" w:hAnsi="仿宋_GB2312" w:eastAsia="仿宋_GB2312" w:cs="仿宋_GB2312"/>
          <w:sz w:val="24"/>
          <w:szCs w:val="24"/>
        </w:rPr>
        <w:t>的</w:t>
      </w:r>
      <w:r>
        <w:rPr>
          <w:rFonts w:hint="eastAsia" w:ascii="仿宋_GB2312" w:hAnsi="仿宋_GB2312" w:eastAsia="仿宋_GB2312" w:cs="仿宋_GB2312"/>
          <w:sz w:val="24"/>
          <w:szCs w:val="24"/>
          <w:lang w:eastAsia="zh-CN"/>
        </w:rPr>
        <w:t>全部</w:t>
      </w:r>
      <w:r>
        <w:rPr>
          <w:rFonts w:hint="eastAsia" w:ascii="仿宋_GB2312" w:hAnsi="仿宋_GB2312" w:eastAsia="仿宋_GB2312" w:cs="仿宋_GB2312"/>
          <w:sz w:val="24"/>
          <w:szCs w:val="24"/>
        </w:rPr>
        <w:t>工作内容，并完全了解和理解</w:t>
      </w:r>
      <w:r>
        <w:rPr>
          <w:rFonts w:hint="eastAsia" w:ascii="仿宋_GB2312" w:hAnsi="仿宋_GB2312" w:eastAsia="仿宋_GB2312" w:cs="仿宋_GB2312"/>
          <w:sz w:val="24"/>
          <w:szCs w:val="24"/>
          <w:lang w:eastAsia="zh-CN"/>
        </w:rPr>
        <w:t>竞争性谈判</w:t>
      </w:r>
      <w:r>
        <w:rPr>
          <w:rFonts w:hint="eastAsia" w:ascii="仿宋_GB2312" w:hAnsi="仿宋_GB2312" w:eastAsia="仿宋_GB2312" w:cs="仿宋_GB2312"/>
          <w:sz w:val="24"/>
          <w:szCs w:val="24"/>
        </w:rPr>
        <w:t>文件的要求。我公司同意报价截止之日起90天内本报价一直对我公司具有约束力，并随时被接受。</w:t>
      </w:r>
    </w:p>
    <w:p>
      <w:pPr>
        <w:keepNext w:val="0"/>
        <w:keepLines w:val="0"/>
        <w:pageBreakBefore w:val="0"/>
        <w:widowControl w:val="0"/>
        <w:numPr>
          <w:ilvl w:val="0"/>
          <w:numId w:val="1"/>
        </w:numPr>
        <w:kinsoku/>
        <w:wordWrap/>
        <w:overflowPunct/>
        <w:topLinePunct w:val="0"/>
        <w:autoSpaceDE/>
        <w:autoSpaceDN/>
        <w:bidi w:val="0"/>
        <w:adjustRightInd w:val="0"/>
        <w:spacing w:line="360" w:lineRule="auto"/>
        <w:ind w:left="10" w:leftChars="0" w:right="0" w:rightChars="0" w:firstLine="468" w:firstLineChars="195"/>
        <w:jc w:val="both"/>
        <w:outlineLvl w:val="9"/>
        <w:rPr>
          <w:rFonts w:hint="default" w:ascii="仿宋_GB2312" w:hAnsi="仿宋_GB2312" w:eastAsia="仿宋_GB2312" w:cs="仿宋_GB2312"/>
          <w:sz w:val="24"/>
        </w:rPr>
      </w:pPr>
      <w:r>
        <w:rPr>
          <w:rFonts w:ascii="仿宋_GB2312" w:hAnsi="仿宋_GB2312" w:eastAsia="仿宋_GB2312" w:cs="仿宋_GB2312"/>
          <w:sz w:val="24"/>
        </w:rPr>
        <w:t>承诺我公司</w:t>
      </w:r>
      <w:r>
        <w:rPr>
          <w:rFonts w:hint="eastAsia" w:ascii="仿宋_GB2312" w:hAnsi="仿宋_GB2312" w:eastAsia="仿宋_GB2312" w:cs="仿宋_GB2312"/>
          <w:sz w:val="24"/>
        </w:rPr>
        <w:t>在参加竞争性谈判活动前三年内（2021年1月1日至报价截止日为止），在经营活动中没有重大违法记录，未因重大责任问题受到相关行业、相关单位等严重处理</w:t>
      </w:r>
      <w:r>
        <w:rPr>
          <w:rFonts w:hint="eastAsia" w:ascii="仿宋_GB2312" w:hAnsi="仿宋_GB2312" w:eastAsia="仿宋_GB2312" w:cs="仿宋_GB2312"/>
          <w:sz w:val="24"/>
          <w:lang w:eastAsia="zh-CN"/>
        </w:rPr>
        <w:t>，</w:t>
      </w:r>
      <w:r>
        <w:rPr>
          <w:rFonts w:ascii="仿宋_GB2312" w:hAnsi="仿宋_GB2312" w:eastAsia="仿宋_GB2312" w:cs="仿宋_GB2312"/>
          <w:sz w:val="24"/>
        </w:rPr>
        <w:t>财务状况良好，有能力完成本项目，且</w:t>
      </w:r>
      <w:r>
        <w:rPr>
          <w:rFonts w:hint="eastAsia" w:ascii="仿宋_GB2312" w:hAnsi="仿宋_GB2312" w:eastAsia="仿宋_GB2312" w:cs="仿宋_GB2312"/>
          <w:sz w:val="24"/>
        </w:rPr>
        <w:t>未被市场监管部门列入经营异常名录</w:t>
      </w:r>
      <w:r>
        <w:rPr>
          <w:rFonts w:ascii="仿宋_GB2312" w:hAnsi="仿宋_GB2312" w:eastAsia="仿宋_GB2312" w:cs="仿宋_GB2312"/>
          <w:sz w:val="24"/>
        </w:rPr>
        <w:t>。</w:t>
      </w:r>
    </w:p>
    <w:p>
      <w:pPr>
        <w:keepNext w:val="0"/>
        <w:keepLines w:val="0"/>
        <w:pageBreakBefore w:val="0"/>
        <w:widowControl w:val="0"/>
        <w:numPr>
          <w:ilvl w:val="0"/>
          <w:numId w:val="1"/>
        </w:numPr>
        <w:kinsoku/>
        <w:wordWrap/>
        <w:overflowPunct/>
        <w:topLinePunct w:val="0"/>
        <w:autoSpaceDE/>
        <w:autoSpaceDN/>
        <w:bidi w:val="0"/>
        <w:adjustRightInd w:val="0"/>
        <w:spacing w:line="360" w:lineRule="auto"/>
        <w:ind w:left="10" w:leftChars="0" w:right="0" w:rightChars="0" w:firstLine="468" w:firstLineChars="195"/>
        <w:jc w:val="both"/>
        <w:outlineLvl w:val="9"/>
        <w:rPr>
          <w:rFonts w:hint="default" w:ascii="仿宋_GB2312" w:hAnsi="仿宋_GB2312" w:eastAsia="仿宋_GB2312" w:cs="仿宋_GB2312"/>
          <w:sz w:val="24"/>
        </w:rPr>
      </w:pPr>
      <w:r>
        <w:rPr>
          <w:rFonts w:ascii="仿宋_GB2312" w:hAnsi="仿宋_GB2312" w:eastAsia="仿宋_GB2312" w:cs="仿宋_GB2312"/>
          <w:sz w:val="24"/>
        </w:rPr>
        <w:t>若因我公司原因导致的工期延误，我公司承诺按合同条款要求进行赔偿，结算时</w:t>
      </w:r>
      <w:r>
        <w:rPr>
          <w:rFonts w:hint="eastAsia" w:ascii="仿宋_GB2312" w:hAnsi="仿宋_GB2312" w:eastAsia="仿宋_GB2312" w:cs="仿宋_GB2312"/>
          <w:sz w:val="24"/>
          <w:lang w:eastAsia="zh-CN"/>
        </w:rPr>
        <w:t>贵方有权</w:t>
      </w:r>
      <w:r>
        <w:rPr>
          <w:rFonts w:ascii="仿宋_GB2312" w:hAnsi="仿宋_GB2312" w:eastAsia="仿宋_GB2312" w:cs="仿宋_GB2312"/>
          <w:sz w:val="24"/>
        </w:rPr>
        <w:t>从工程款中扣减。</w:t>
      </w:r>
    </w:p>
    <w:p>
      <w:pPr>
        <w:keepNext w:val="0"/>
        <w:keepLines w:val="0"/>
        <w:pageBreakBefore w:val="0"/>
        <w:widowControl w:val="0"/>
        <w:numPr>
          <w:ilvl w:val="0"/>
          <w:numId w:val="1"/>
        </w:numPr>
        <w:kinsoku/>
        <w:wordWrap/>
        <w:overflowPunct/>
        <w:topLinePunct w:val="0"/>
        <w:autoSpaceDE/>
        <w:autoSpaceDN/>
        <w:bidi w:val="0"/>
        <w:adjustRightInd w:val="0"/>
        <w:spacing w:line="360" w:lineRule="auto"/>
        <w:ind w:left="10" w:leftChars="0" w:right="0" w:rightChars="0" w:firstLine="468" w:firstLineChars="195"/>
        <w:jc w:val="both"/>
        <w:outlineLvl w:val="9"/>
        <w:rPr>
          <w:rFonts w:hint="default" w:ascii="仿宋_GB2312" w:hAnsi="仿宋_GB2312" w:eastAsia="仿宋_GB2312" w:cs="仿宋_GB2312"/>
          <w:sz w:val="24"/>
        </w:rPr>
      </w:pPr>
      <w:r>
        <w:rPr>
          <w:rFonts w:hint="eastAsia" w:ascii="仿宋_GB2312" w:hAnsi="仿宋_GB2312" w:eastAsia="仿宋_GB2312" w:cs="仿宋_GB2312"/>
          <w:sz w:val="24"/>
          <w:lang w:eastAsia="zh-CN"/>
        </w:rPr>
        <w:t>若中选，</w:t>
      </w:r>
      <w:r>
        <w:rPr>
          <w:rFonts w:ascii="仿宋_GB2312" w:hAnsi="仿宋_GB2312" w:eastAsia="仿宋_GB2312" w:cs="仿宋_GB2312"/>
          <w:sz w:val="24"/>
        </w:rPr>
        <w:t>我</w:t>
      </w:r>
      <w:r>
        <w:rPr>
          <w:rFonts w:hint="eastAsia" w:ascii="仿宋_GB2312" w:hAnsi="仿宋_GB2312" w:eastAsia="仿宋_GB2312" w:cs="仿宋_GB2312"/>
          <w:sz w:val="24"/>
          <w:lang w:eastAsia="zh-CN"/>
        </w:rPr>
        <w:t>方</w:t>
      </w:r>
      <w:r>
        <w:rPr>
          <w:rFonts w:ascii="仿宋_GB2312" w:hAnsi="仿宋_GB2312" w:eastAsia="仿宋_GB2312" w:cs="仿宋_GB2312"/>
          <w:sz w:val="24"/>
        </w:rPr>
        <w:t>承诺</w:t>
      </w:r>
      <w:r>
        <w:rPr>
          <w:rFonts w:hint="eastAsia" w:ascii="仿宋_GB2312" w:hAnsi="仿宋_GB2312" w:eastAsia="仿宋_GB2312" w:cs="仿宋_GB2312"/>
          <w:sz w:val="24"/>
          <w:lang w:eastAsia="zh-CN"/>
        </w:rPr>
        <w:t>不对报价进行调整（国家调整税率的除外），并</w:t>
      </w:r>
      <w:r>
        <w:rPr>
          <w:rFonts w:ascii="仿宋_GB2312" w:hAnsi="仿宋_GB2312" w:eastAsia="仿宋_GB2312" w:cs="仿宋_GB2312"/>
          <w:sz w:val="24"/>
        </w:rPr>
        <w:t>严格按照我方提供的技术方案和采购人采购文件要求施工，并接受监督及验收。</w:t>
      </w:r>
    </w:p>
    <w:p>
      <w:pPr>
        <w:numPr>
          <w:ilvl w:val="0"/>
          <w:numId w:val="1"/>
        </w:numPr>
        <w:tabs>
          <w:tab w:val="left" w:pos="900"/>
        </w:tabs>
        <w:adjustRightInd w:val="0"/>
        <w:snapToGrid w:val="0"/>
        <w:spacing w:line="360" w:lineRule="auto"/>
        <w:ind w:left="10" w:leftChars="0" w:firstLine="468" w:firstLineChars="195"/>
        <w:rPr>
          <w:rFonts w:ascii="仿宋_GB2312" w:hAnsi="仿宋_GB2312" w:eastAsia="仿宋_GB2312" w:cs="仿宋_GB2312"/>
          <w:sz w:val="24"/>
        </w:rPr>
      </w:pPr>
      <w:r>
        <w:rPr>
          <w:rFonts w:hint="eastAsia" w:ascii="仿宋_GB2312" w:hAnsi="仿宋_GB2312" w:eastAsia="仿宋_GB2312" w:cs="仿宋_GB2312"/>
          <w:sz w:val="24"/>
        </w:rPr>
        <w:t>若中选，我方自收到贵方中选通知书之日起，同贵方成立本项目的合同关系，并将按照</w:t>
      </w:r>
      <w:r>
        <w:rPr>
          <w:rFonts w:hint="eastAsia" w:ascii="仿宋_GB2312" w:hAnsi="仿宋_GB2312" w:eastAsia="仿宋_GB2312" w:cs="仿宋_GB2312"/>
          <w:sz w:val="24"/>
          <w:lang w:eastAsia="zh-CN"/>
        </w:rPr>
        <w:t>竞争性谈判</w:t>
      </w:r>
      <w:r>
        <w:rPr>
          <w:rFonts w:hint="eastAsia" w:ascii="仿宋_GB2312" w:hAnsi="仿宋_GB2312" w:eastAsia="仿宋_GB2312" w:cs="仿宋_GB2312"/>
          <w:sz w:val="24"/>
        </w:rPr>
        <w:t>文件的具体规定与</w:t>
      </w:r>
      <w:r>
        <w:rPr>
          <w:rFonts w:hint="eastAsia" w:ascii="仿宋_GB2312" w:hAnsi="仿宋_GB2312" w:eastAsia="仿宋_GB2312" w:cs="仿宋_GB2312"/>
          <w:sz w:val="24"/>
          <w:lang w:eastAsia="zh-CN"/>
        </w:rPr>
        <w:t>竞争性谈判</w:t>
      </w:r>
      <w:r>
        <w:rPr>
          <w:rFonts w:hint="eastAsia" w:ascii="仿宋_GB2312" w:hAnsi="仿宋_GB2312" w:eastAsia="仿宋_GB2312" w:cs="仿宋_GB2312"/>
          <w:sz w:val="24"/>
        </w:rPr>
        <w:t>人签订书面经济合同，严格履行合同义务</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按时为工程提供优质的服务和成果。如果在合同执行过程中出现服务质量问题，我方承诺尽快更换/退货，并承担相应的经济责任。</w:t>
      </w:r>
    </w:p>
    <w:p>
      <w:pPr>
        <w:numPr>
          <w:ilvl w:val="0"/>
          <w:numId w:val="1"/>
        </w:numPr>
        <w:tabs>
          <w:tab w:val="left" w:pos="900"/>
        </w:tabs>
        <w:adjustRightInd w:val="0"/>
        <w:snapToGrid w:val="0"/>
        <w:spacing w:line="360" w:lineRule="auto"/>
        <w:ind w:left="10" w:leftChars="0" w:firstLine="468" w:firstLineChars="195"/>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color w:val="auto"/>
          <w:sz w:val="24"/>
        </w:rPr>
        <w:t>在整个</w:t>
      </w:r>
      <w:r>
        <w:rPr>
          <w:rFonts w:hint="eastAsia" w:ascii="仿宋_GB2312" w:hAnsi="仿宋_GB2312" w:eastAsia="仿宋_GB2312" w:cs="仿宋_GB2312"/>
          <w:color w:val="auto"/>
          <w:sz w:val="24"/>
          <w:lang w:eastAsia="zh-CN"/>
        </w:rPr>
        <w:t>竞争性谈判</w:t>
      </w:r>
      <w:r>
        <w:rPr>
          <w:rFonts w:hint="eastAsia" w:ascii="仿宋_GB2312" w:hAnsi="仿宋_GB2312" w:eastAsia="仿宋_GB2312" w:cs="仿宋_GB2312"/>
          <w:color w:val="auto"/>
          <w:sz w:val="24"/>
        </w:rPr>
        <w:t>过程中，我方若有违规行为，贵方可按</w:t>
      </w:r>
      <w:r>
        <w:rPr>
          <w:rFonts w:hint="eastAsia" w:ascii="仿宋_GB2312" w:hAnsi="仿宋_GB2312" w:eastAsia="仿宋_GB2312" w:cs="仿宋_GB2312"/>
          <w:color w:val="auto"/>
          <w:sz w:val="24"/>
          <w:lang w:eastAsia="zh-CN"/>
        </w:rPr>
        <w:t>竞争性谈判</w:t>
      </w:r>
      <w:r>
        <w:rPr>
          <w:rFonts w:hint="eastAsia" w:ascii="仿宋_GB2312" w:hAnsi="仿宋_GB2312" w:eastAsia="仿宋_GB2312" w:cs="仿宋_GB2312"/>
          <w:color w:val="auto"/>
          <w:sz w:val="24"/>
        </w:rPr>
        <w:t>文件之规定给予惩罚，我方完全接受</w:t>
      </w:r>
      <w:r>
        <w:rPr>
          <w:rFonts w:hint="eastAsia" w:ascii="仿宋_GB2312" w:hAnsi="仿宋_GB2312" w:eastAsia="仿宋_GB2312" w:cs="仿宋_GB2312"/>
          <w:bCs/>
          <w:color w:val="auto"/>
          <w:sz w:val="24"/>
          <w:szCs w:val="24"/>
          <w:lang w:val="en-US" w:eastAsia="zh-CN"/>
        </w:rPr>
        <w:t>。</w:t>
      </w:r>
    </w:p>
    <w:p>
      <w:pPr>
        <w:tabs>
          <w:tab w:val="left" w:pos="900"/>
        </w:tabs>
        <w:adjustRightInd w:val="0"/>
        <w:snapToGrid w:val="0"/>
        <w:ind w:firstLine="480"/>
        <w:jc w:val="both"/>
        <w:outlineLvl w:val="9"/>
        <w:rPr>
          <w:rFonts w:hint="eastAsia" w:ascii="仿宋_GB2312" w:hAnsi="仿宋_GB2312" w:eastAsia="仿宋_GB2312" w:cs="仿宋_GB2312"/>
          <w:sz w:val="24"/>
          <w:szCs w:val="24"/>
          <w:lang w:val="en-US" w:eastAsia="zh-CN"/>
        </w:rPr>
      </w:pPr>
    </w:p>
    <w:p>
      <w:pPr>
        <w:widowControl/>
        <w:snapToGrid w:val="0"/>
        <w:spacing w:line="360" w:lineRule="auto"/>
        <w:rPr>
          <w:rFonts w:hint="eastAsia" w:ascii="仿宋_GB2312" w:hAnsi="仿宋_GB2312" w:eastAsia="仿宋_GB2312" w:cs="仿宋_GB2312"/>
          <w:sz w:val="24"/>
          <w:szCs w:val="24"/>
        </w:rPr>
      </w:pPr>
      <w:bookmarkStart w:id="10" w:name="OLE_LINK8"/>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报价人：</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（盖单位</w:t>
      </w:r>
      <w:r>
        <w:rPr>
          <w:rFonts w:hint="eastAsia" w:ascii="仿宋_GB2312" w:hAnsi="仿宋_GB2312" w:eastAsia="仿宋_GB2312" w:cs="仿宋_GB2312"/>
          <w:sz w:val="24"/>
          <w:szCs w:val="24"/>
          <w:lang w:eastAsia="zh-CN"/>
        </w:rPr>
        <w:t>公</w:t>
      </w:r>
      <w:r>
        <w:rPr>
          <w:rFonts w:hint="eastAsia" w:ascii="仿宋_GB2312" w:hAnsi="仿宋_GB2312" w:eastAsia="仿宋_GB2312" w:cs="仿宋_GB2312"/>
          <w:sz w:val="24"/>
          <w:szCs w:val="24"/>
        </w:rPr>
        <w:t>章）</w:t>
      </w:r>
    </w:p>
    <w:p>
      <w:pPr>
        <w:widowControl/>
        <w:snapToGrid w:val="0"/>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法定代表人或其委托代理人</w:t>
      </w:r>
      <w:r>
        <w:rPr>
          <w:rFonts w:hint="eastAsia" w:ascii="仿宋_GB2312" w:hAnsi="仿宋_GB2312" w:eastAsia="仿宋_GB2312" w:cs="仿宋_GB2312"/>
          <w:sz w:val="24"/>
          <w:szCs w:val="24"/>
          <w:lang w:eastAsia="zh-CN"/>
        </w:rPr>
        <w:t>（签字）</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p>
    <w:p>
      <w:pPr>
        <w:snapToGrid w:val="0"/>
        <w:spacing w:line="360" w:lineRule="auto"/>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w:t>
      </w:r>
    </w:p>
    <w:bookmarkEnd w:id="10"/>
    <w:p>
      <w:pPr>
        <w:pStyle w:val="2"/>
      </w:pPr>
    </w:p>
    <w:p>
      <w:pPr>
        <w:pStyle w:val="2"/>
      </w:pPr>
    </w:p>
    <w:sectPr>
      <w:footerReference r:id="rId3" w:type="default"/>
      <w:pgSz w:w="11906" w:h="16838"/>
      <w:pgMar w:top="720" w:right="720" w:bottom="720" w:left="720"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133987"/>
    <w:multiLevelType w:val="singleLevel"/>
    <w:tmpl w:val="5D13398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kOGVjMzc1ZjVlYjAxNDZkOWJhNjA0YTI5NTVhZDMifQ=="/>
  </w:docVars>
  <w:rsids>
    <w:rsidRoot w:val="15DF504A"/>
    <w:rsid w:val="0185278D"/>
    <w:rsid w:val="02531003"/>
    <w:rsid w:val="02A727D5"/>
    <w:rsid w:val="02FA7EEB"/>
    <w:rsid w:val="051B106F"/>
    <w:rsid w:val="05604538"/>
    <w:rsid w:val="05965135"/>
    <w:rsid w:val="077C2D93"/>
    <w:rsid w:val="0828550C"/>
    <w:rsid w:val="09457446"/>
    <w:rsid w:val="0A4C3311"/>
    <w:rsid w:val="0B3F5A01"/>
    <w:rsid w:val="0E5D6740"/>
    <w:rsid w:val="0FFF0233"/>
    <w:rsid w:val="11AE22E0"/>
    <w:rsid w:val="12F422EA"/>
    <w:rsid w:val="15D6434B"/>
    <w:rsid w:val="15DF504A"/>
    <w:rsid w:val="15F032C9"/>
    <w:rsid w:val="1A0F7BE0"/>
    <w:rsid w:val="1C0D284B"/>
    <w:rsid w:val="1C6449AB"/>
    <w:rsid w:val="1CBB5978"/>
    <w:rsid w:val="1CDA1E19"/>
    <w:rsid w:val="20EA4FC7"/>
    <w:rsid w:val="21036C97"/>
    <w:rsid w:val="21066CBD"/>
    <w:rsid w:val="252834D7"/>
    <w:rsid w:val="25A847D7"/>
    <w:rsid w:val="27AC59D6"/>
    <w:rsid w:val="27D738A0"/>
    <w:rsid w:val="27E26203"/>
    <w:rsid w:val="28020AF0"/>
    <w:rsid w:val="2AFC1719"/>
    <w:rsid w:val="31C91011"/>
    <w:rsid w:val="32864F04"/>
    <w:rsid w:val="348E1C47"/>
    <w:rsid w:val="36DF7C46"/>
    <w:rsid w:val="3B25403C"/>
    <w:rsid w:val="3B3F4030"/>
    <w:rsid w:val="3BC304E2"/>
    <w:rsid w:val="3E736356"/>
    <w:rsid w:val="3EC009AE"/>
    <w:rsid w:val="3F9D5840"/>
    <w:rsid w:val="3FC23F6C"/>
    <w:rsid w:val="3FF366D5"/>
    <w:rsid w:val="406212F8"/>
    <w:rsid w:val="455901D1"/>
    <w:rsid w:val="480B6C99"/>
    <w:rsid w:val="4B434DA7"/>
    <w:rsid w:val="4B785CE8"/>
    <w:rsid w:val="4EE20E5B"/>
    <w:rsid w:val="4F2C2F93"/>
    <w:rsid w:val="4FBF42E5"/>
    <w:rsid w:val="50614361"/>
    <w:rsid w:val="516F13BD"/>
    <w:rsid w:val="53192EF6"/>
    <w:rsid w:val="53BA2E6A"/>
    <w:rsid w:val="54067363"/>
    <w:rsid w:val="57AB0E67"/>
    <w:rsid w:val="57BE5322"/>
    <w:rsid w:val="588717C9"/>
    <w:rsid w:val="59481887"/>
    <w:rsid w:val="59F5307C"/>
    <w:rsid w:val="5AFC259D"/>
    <w:rsid w:val="5E1E68F7"/>
    <w:rsid w:val="61327432"/>
    <w:rsid w:val="63A20927"/>
    <w:rsid w:val="659B25C1"/>
    <w:rsid w:val="6C1626E0"/>
    <w:rsid w:val="6D6D2EA1"/>
    <w:rsid w:val="6E742041"/>
    <w:rsid w:val="6EAC4723"/>
    <w:rsid w:val="71344A46"/>
    <w:rsid w:val="72CE6D66"/>
    <w:rsid w:val="73B40A19"/>
    <w:rsid w:val="75032589"/>
    <w:rsid w:val="76E81026"/>
    <w:rsid w:val="77D64548"/>
    <w:rsid w:val="77EE4A15"/>
    <w:rsid w:val="79263C0A"/>
    <w:rsid w:val="792F355C"/>
    <w:rsid w:val="7BE2343C"/>
    <w:rsid w:val="7F416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0" w:lineRule="auto"/>
      <w:outlineLvl w:val="1"/>
    </w:pPr>
    <w:rPr>
      <w:rFonts w:ascii="Arial" w:hAnsi="Arial" w:eastAsia="黑体" w:cs="Arial"/>
      <w:b/>
      <w:bCs/>
      <w:sz w:val="32"/>
      <w:szCs w:val="32"/>
    </w:rPr>
  </w:style>
  <w:style w:type="character" w:default="1" w:styleId="8">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表格文字2"/>
    <w:basedOn w:val="1"/>
    <w:qFormat/>
    <w:uiPriority w:val="0"/>
    <w:pPr>
      <w:jc w:val="left"/>
    </w:pPr>
    <w:rPr>
      <w:bCs/>
      <w:spacing w:val="10"/>
      <w:kern w:val="0"/>
    </w:rPr>
  </w:style>
  <w:style w:type="paragraph" w:styleId="4">
    <w:name w:val="Normal Indent"/>
    <w:basedOn w:val="1"/>
    <w:next w:val="1"/>
    <w:qFormat/>
    <w:uiPriority w:val="0"/>
    <w:pPr>
      <w:adjustRightInd w:val="0"/>
      <w:spacing w:line="360" w:lineRule="atLeast"/>
      <w:ind w:firstLine="420"/>
      <w:jc w:val="left"/>
      <w:textAlignment w:val="baseline"/>
    </w:pPr>
    <w:rPr>
      <w:kern w:val="0"/>
      <w:sz w:val="24"/>
      <w:szCs w:val="20"/>
    </w:rPr>
  </w:style>
  <w:style w:type="paragraph" w:styleId="5">
    <w:name w:val="footer"/>
    <w:basedOn w:val="1"/>
    <w:qFormat/>
    <w:uiPriority w:val="0"/>
    <w:pPr>
      <w:tabs>
        <w:tab w:val="center" w:pos="4153"/>
        <w:tab w:val="right" w:pos="8306"/>
      </w:tabs>
      <w:snapToGrid w:val="0"/>
      <w:jc w:val="left"/>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61"/>
    <w:basedOn w:val="8"/>
    <w:qFormat/>
    <w:uiPriority w:val="0"/>
    <w:rPr>
      <w:rFonts w:hint="eastAsia" w:ascii="宋体" w:hAnsi="宋体" w:eastAsia="宋体" w:cs="宋体"/>
      <w:color w:val="FF0000"/>
      <w:sz w:val="22"/>
      <w:szCs w:val="22"/>
      <w:u w:val="none"/>
    </w:rPr>
  </w:style>
  <w:style w:type="paragraph" w:customStyle="1" w:styleId="10">
    <w:name w:val=" Char"/>
    <w:basedOn w:val="1"/>
    <w:qFormat/>
    <w:uiPriority w:val="0"/>
  </w:style>
  <w:style w:type="character" w:customStyle="1" w:styleId="11">
    <w:name w:val="15"/>
    <w:basedOn w:val="8"/>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Office_11.8.6.11829_F1E327BC-269C-435d-A152-05C5408002CA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2023-07-28T05:38:00Z</dcterms:created>
  <dc:creator>刘继行</dc:creator>
  <cp:lastModifiedBy>刘继行</cp:lastModifiedBy>
  <dcterms:modified xsi:type="dcterms:W3CDTF">2024-03-15T08:58:10Z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2052-11.8.6.11829</vt:lpwstr>
  </property>
  <property fmtid="{D5CDD505-2E9C-101B-9397-08002B2CF9AE}" pid="3" name="ICV">
    <vt:lpwstr>521069EAB17A4F66ABFF5EB34078924B</vt:lpwstr>
  </property>
</Properties>
</file>