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30"/>
          <w:szCs w:val="30"/>
          <w:highlight w:val="none"/>
          <w:lang w:val="en-US" w:eastAsia="zh-CN"/>
        </w:rPr>
        <w:t xml:space="preserve">   </w:t>
      </w:r>
      <w:r>
        <w:rPr>
          <w:rFonts w:hint="eastAsia" w:ascii="方正小标宋简体" w:hAnsi="方正小标宋简体" w:eastAsia="方正小标宋简体" w:cs="方正小标宋简体"/>
          <w:b/>
          <w:bCs/>
          <w:color w:val="auto"/>
          <w:sz w:val="44"/>
          <w:szCs w:val="44"/>
          <w:highlight w:val="none"/>
        </w:rPr>
        <w:t>评审办法</w:t>
      </w:r>
    </w:p>
    <w:p>
      <w:pPr>
        <w:spacing w:line="360" w:lineRule="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 xml:space="preserve">1  </w:t>
      </w:r>
      <w:r>
        <w:rPr>
          <w:rFonts w:hint="eastAsia" w:ascii="仿宋_GB2312" w:hAnsi="仿宋_GB2312" w:eastAsia="仿宋_GB2312" w:cs="仿宋_GB2312"/>
          <w:b/>
          <w:bCs/>
          <w:color w:val="auto"/>
          <w:sz w:val="24"/>
          <w:szCs w:val="24"/>
          <w:highlight w:val="none"/>
        </w:rPr>
        <w:t>评审机构及成员</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本项目成立评审小组。评审工作由评审小组负责。</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 评审小组共5人,由</w:t>
      </w:r>
      <w:r>
        <w:rPr>
          <w:rFonts w:hint="eastAsia" w:ascii="仿宋_GB2312" w:hAnsi="仿宋_GB2312" w:eastAsia="仿宋_GB2312" w:cs="仿宋_GB2312"/>
          <w:color w:val="auto"/>
          <w:sz w:val="24"/>
          <w:szCs w:val="24"/>
          <w:highlight w:val="none"/>
          <w:lang w:eastAsia="zh-CN"/>
        </w:rPr>
        <w:t>甲方</w:t>
      </w:r>
      <w:r>
        <w:rPr>
          <w:rFonts w:hint="eastAsia" w:ascii="仿宋_GB2312" w:hAnsi="仿宋_GB2312" w:eastAsia="仿宋_GB2312" w:cs="仿宋_GB2312"/>
          <w:color w:val="auto"/>
          <w:sz w:val="24"/>
          <w:szCs w:val="24"/>
          <w:highlight w:val="none"/>
        </w:rPr>
        <w:t>的技术、经济专家组成，另设监</w:t>
      </w:r>
      <w:r>
        <w:rPr>
          <w:rFonts w:hint="eastAsia" w:ascii="仿宋_GB2312" w:hAnsi="仿宋_GB2312" w:eastAsia="仿宋_GB2312" w:cs="仿宋_GB2312"/>
          <w:color w:val="auto"/>
          <w:sz w:val="24"/>
          <w:szCs w:val="24"/>
          <w:highlight w:val="none"/>
          <w:lang w:eastAsia="zh-CN"/>
        </w:rPr>
        <w:t>督</w:t>
      </w:r>
      <w:r>
        <w:rPr>
          <w:rFonts w:hint="eastAsia" w:ascii="仿宋_GB2312" w:hAnsi="仿宋_GB2312" w:eastAsia="仿宋_GB2312" w:cs="仿宋_GB2312"/>
          <w:color w:val="auto"/>
          <w:sz w:val="24"/>
          <w:szCs w:val="24"/>
          <w:highlight w:val="none"/>
        </w:rPr>
        <w:t>组1人。</w:t>
      </w:r>
    </w:p>
    <w:p>
      <w:pPr>
        <w:spacing w:line="360" w:lineRule="auto"/>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val="en-US" w:eastAsia="zh-CN"/>
        </w:rPr>
        <w:t xml:space="preserve">2  </w:t>
      </w:r>
      <w:r>
        <w:rPr>
          <w:rFonts w:hint="eastAsia" w:ascii="仿宋_GB2312" w:hAnsi="仿宋_GB2312" w:eastAsia="仿宋_GB2312" w:cs="仿宋_GB2312"/>
          <w:b/>
          <w:bCs/>
          <w:color w:val="auto"/>
          <w:sz w:val="24"/>
          <w:szCs w:val="24"/>
          <w:highlight w:val="none"/>
        </w:rPr>
        <w:t>评审程序和内容</w:t>
      </w:r>
      <w:r>
        <w:rPr>
          <w:rFonts w:hint="eastAsia" w:ascii="仿宋_GB2312" w:hAnsi="仿宋_GB2312" w:eastAsia="仿宋_GB2312" w:cs="仿宋_GB2312"/>
          <w:b/>
          <w:bCs/>
          <w:color w:val="auto"/>
          <w:sz w:val="24"/>
          <w:szCs w:val="24"/>
          <w:highlight w:val="none"/>
          <w:lang w:eastAsia="zh-CN"/>
        </w:rPr>
        <w:t>（先技术评审，再商务评审）</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 阅读</w:t>
      </w:r>
      <w:r>
        <w:rPr>
          <w:rFonts w:hint="eastAsia" w:ascii="仿宋_GB2312" w:hAnsi="仿宋_GB2312" w:eastAsia="仿宋_GB2312" w:cs="仿宋_GB2312"/>
          <w:color w:val="auto"/>
          <w:sz w:val="24"/>
          <w:szCs w:val="24"/>
          <w:highlight w:val="none"/>
          <w:lang w:eastAsia="zh-CN"/>
        </w:rPr>
        <w:t>竞争性谈判公告</w:t>
      </w:r>
      <w:r>
        <w:rPr>
          <w:rFonts w:hint="eastAsia" w:ascii="仿宋_GB2312" w:hAnsi="仿宋_GB2312" w:eastAsia="仿宋_GB2312" w:cs="仿宋_GB2312"/>
          <w:color w:val="auto"/>
          <w:sz w:val="24"/>
          <w:szCs w:val="24"/>
          <w:highlight w:val="none"/>
        </w:rPr>
        <w:t>及有关资料。</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对证明具备</w:t>
      </w:r>
      <w:r>
        <w:rPr>
          <w:rFonts w:hint="eastAsia" w:ascii="仿宋_GB2312" w:hAnsi="仿宋_GB2312" w:eastAsia="仿宋_GB2312" w:cs="仿宋_GB2312"/>
          <w:color w:val="auto"/>
          <w:sz w:val="24"/>
          <w:szCs w:val="24"/>
          <w:highlight w:val="none"/>
          <w:lang w:eastAsia="zh-CN"/>
        </w:rPr>
        <w:t>竞争性谈判</w:t>
      </w:r>
      <w:r>
        <w:rPr>
          <w:rFonts w:hint="eastAsia" w:ascii="仿宋_GB2312" w:hAnsi="仿宋_GB2312" w:eastAsia="仿宋_GB2312" w:cs="仿宋_GB2312"/>
          <w:color w:val="auto"/>
          <w:sz w:val="24"/>
          <w:szCs w:val="24"/>
          <w:highlight w:val="none"/>
        </w:rPr>
        <w:t>资格的原始文件的复印件（包括营业执照、银行资信证明等）、授权委托书</w:t>
      </w:r>
      <w:r>
        <w:rPr>
          <w:rFonts w:hint="eastAsia" w:ascii="仿宋_GB2312" w:hAnsi="仿宋_GB2312" w:eastAsia="仿宋_GB2312" w:cs="仿宋_GB2312"/>
          <w:color w:val="auto"/>
          <w:sz w:val="24"/>
          <w:szCs w:val="24"/>
          <w:highlight w:val="none"/>
          <w:lang w:eastAsia="zh-CN"/>
        </w:rPr>
        <w:t>、承诺函</w:t>
      </w:r>
      <w:r>
        <w:rPr>
          <w:rFonts w:hint="eastAsia" w:ascii="仿宋_GB2312" w:hAnsi="仿宋_GB2312" w:eastAsia="仿宋_GB2312" w:cs="仿宋_GB2312"/>
          <w:color w:val="auto"/>
          <w:sz w:val="24"/>
          <w:szCs w:val="24"/>
          <w:highlight w:val="none"/>
        </w:rPr>
        <w:t>等进行</w:t>
      </w:r>
      <w:r>
        <w:rPr>
          <w:rFonts w:hint="eastAsia" w:ascii="仿宋_GB2312" w:hAnsi="仿宋_GB2312" w:eastAsia="仿宋_GB2312" w:cs="仿宋_GB2312"/>
          <w:color w:val="auto"/>
          <w:sz w:val="24"/>
          <w:szCs w:val="24"/>
          <w:highlight w:val="none"/>
          <w:lang w:eastAsia="zh-CN"/>
        </w:rPr>
        <w:t>审查</w:t>
      </w:r>
      <w:r>
        <w:rPr>
          <w:rFonts w:hint="eastAsia" w:ascii="仿宋_GB2312" w:hAnsi="仿宋_GB2312" w:eastAsia="仿宋_GB2312" w:cs="仿宋_GB2312"/>
          <w:color w:val="auto"/>
          <w:sz w:val="24"/>
          <w:szCs w:val="24"/>
          <w:highlight w:val="none"/>
        </w:rPr>
        <w:t>。</w:t>
      </w:r>
    </w:p>
    <w:p>
      <w:pPr>
        <w:spacing w:line="36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 xml:space="preserve">2.2 </w:t>
      </w:r>
      <w:r>
        <w:rPr>
          <w:rFonts w:hint="eastAsia" w:ascii="仿宋_GB2312" w:hAnsi="仿宋_GB2312" w:eastAsia="仿宋_GB2312" w:cs="仿宋_GB2312"/>
          <w:color w:val="auto"/>
          <w:sz w:val="24"/>
          <w:szCs w:val="24"/>
          <w:highlight w:val="none"/>
          <w:lang w:eastAsia="zh-CN"/>
        </w:rPr>
        <w:t>组织谈判</w:t>
      </w:r>
    </w:p>
    <w:p>
      <w:pPr>
        <w:spacing w:line="360" w:lineRule="auto"/>
        <w:ind w:firstLine="480"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评审小组组长应组织评审小组成员讨论竞争性谈判意见，组内意见达成一致后，由评审小组组长任意指定一名组内成员为主要谈判人员，通过评审室内的评审谈判专用座机免提方式联系报价人进行价格谈判，经谈判价格有调整的，评审小组应要求对方将调整后的报价以书面形式重新报至项目指定联系人处（格式要求同项目“报价单”）。</w:t>
      </w:r>
    </w:p>
    <w:p>
      <w:pPr>
        <w:spacing w:line="360" w:lineRule="auto"/>
        <w:ind w:firstLine="480"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谈判人员应当使用评审谈判专用座机与谈判相对方联系，谈判中不得发生透露项目预算价格、其他报价人报价、暗示对方报价等影响价格公平、公正的情形。</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2.3</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文件澄清</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在必要时，为有助于</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文件的审查、评价和比较，评审小组可以</w:t>
      </w:r>
      <w:r>
        <w:rPr>
          <w:rFonts w:hint="eastAsia" w:ascii="仿宋_GB2312" w:hAnsi="仿宋_GB2312" w:eastAsia="仿宋_GB2312" w:cs="仿宋_GB2312"/>
          <w:color w:val="auto"/>
          <w:sz w:val="24"/>
          <w:szCs w:val="24"/>
          <w:highlight w:val="none"/>
          <w:lang w:eastAsia="zh-CN"/>
        </w:rPr>
        <w:t>在谈判的同时</w:t>
      </w:r>
      <w:r>
        <w:rPr>
          <w:rFonts w:hint="eastAsia" w:ascii="仿宋_GB2312" w:hAnsi="仿宋_GB2312" w:eastAsia="仿宋_GB2312" w:cs="仿宋_GB2312"/>
          <w:color w:val="auto"/>
          <w:sz w:val="24"/>
          <w:szCs w:val="24"/>
          <w:highlight w:val="none"/>
        </w:rPr>
        <w:t>对</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文件有疑问或不清楚的地方进行书面澄清，</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接到评审小组书面澄清问题后，以书面形式将澄清回复</w:t>
      </w:r>
      <w:r>
        <w:rPr>
          <w:rFonts w:hint="eastAsia" w:ascii="仿宋_GB2312" w:hAnsi="仿宋_GB2312" w:eastAsia="仿宋_GB2312" w:cs="仿宋_GB2312"/>
          <w:color w:val="auto"/>
          <w:sz w:val="24"/>
          <w:szCs w:val="24"/>
          <w:highlight w:val="none"/>
          <w:lang w:val="en-US" w:eastAsia="zh-CN"/>
        </w:rPr>
        <w:t>评审组</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澄清回复应有法定代表人或被授权代表人签字</w:t>
      </w:r>
      <w:r>
        <w:rPr>
          <w:rFonts w:hint="eastAsia" w:ascii="仿宋_GB2312" w:hAnsi="仿宋_GB2312" w:eastAsia="仿宋_GB2312" w:cs="仿宋_GB2312"/>
          <w:color w:val="auto"/>
          <w:sz w:val="24"/>
          <w:szCs w:val="24"/>
          <w:highlight w:val="none"/>
          <w:lang w:val="en-US" w:eastAsia="zh-CN"/>
        </w:rPr>
        <w:t>或公章</w:t>
      </w:r>
      <w:r>
        <w:rPr>
          <w:rFonts w:hint="eastAsia" w:ascii="仿宋_GB2312" w:hAnsi="仿宋_GB2312" w:eastAsia="仿宋_GB2312" w:cs="仿宋_GB2312"/>
          <w:color w:val="auto"/>
          <w:sz w:val="24"/>
          <w:szCs w:val="24"/>
          <w:highlight w:val="none"/>
        </w:rPr>
        <w:t>，澄清问题回复作为</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文件的组成部分。</w:t>
      </w:r>
    </w:p>
    <w:p>
      <w:pPr>
        <w:spacing w:line="360" w:lineRule="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w:t>
      </w:r>
      <w:r>
        <w:rPr>
          <w:rFonts w:hint="eastAsia" w:ascii="仿宋_GB2312" w:hAnsi="仿宋_GB2312" w:eastAsia="仿宋_GB2312" w:cs="仿宋_GB2312"/>
          <w:b w:val="0"/>
          <w:bCs w:val="0"/>
          <w:color w:val="auto"/>
          <w:sz w:val="24"/>
          <w:szCs w:val="24"/>
          <w:highlight w:val="none"/>
          <w:lang w:val="en-US" w:eastAsia="zh-CN"/>
        </w:rPr>
        <w:t>4</w:t>
      </w:r>
      <w:r>
        <w:rPr>
          <w:rFonts w:hint="eastAsia" w:ascii="仿宋_GB2312" w:hAnsi="仿宋_GB2312" w:eastAsia="仿宋_GB2312" w:cs="仿宋_GB2312"/>
          <w:b w:val="0"/>
          <w:bCs w:val="0"/>
          <w:color w:val="auto"/>
          <w:sz w:val="24"/>
          <w:szCs w:val="24"/>
          <w:highlight w:val="none"/>
        </w:rPr>
        <w:t xml:space="preserve"> 综合评价与比较</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评审应依据评审原则、评审办法，对</w:t>
      </w:r>
      <w:r>
        <w:rPr>
          <w:rFonts w:hint="eastAsia" w:ascii="仿宋_GB2312" w:hAnsi="仿宋_GB2312" w:eastAsia="仿宋_GB2312" w:cs="仿宋_GB2312"/>
          <w:color w:val="auto"/>
          <w:sz w:val="24"/>
          <w:szCs w:val="24"/>
          <w:highlight w:val="none"/>
          <w:lang w:eastAsia="zh-CN"/>
        </w:rPr>
        <w:t>竞争性谈判申请</w:t>
      </w:r>
      <w:r>
        <w:rPr>
          <w:rFonts w:hint="eastAsia" w:ascii="仿宋_GB2312" w:hAnsi="仿宋_GB2312" w:eastAsia="仿宋_GB2312" w:cs="仿宋_GB2312"/>
          <w:color w:val="auto"/>
          <w:sz w:val="24"/>
          <w:szCs w:val="24"/>
          <w:highlight w:val="none"/>
        </w:rPr>
        <w:t>文件进行</w:t>
      </w:r>
      <w:r>
        <w:rPr>
          <w:rFonts w:hint="eastAsia" w:ascii="仿宋_GB2312" w:hAnsi="仿宋_GB2312" w:eastAsia="仿宋_GB2312" w:cs="仿宋_GB2312"/>
          <w:color w:val="auto"/>
          <w:sz w:val="24"/>
          <w:szCs w:val="24"/>
          <w:highlight w:val="none"/>
          <w:lang w:eastAsia="zh-CN"/>
        </w:rPr>
        <w:t>详细</w:t>
      </w:r>
      <w:r>
        <w:rPr>
          <w:rFonts w:hint="eastAsia" w:ascii="仿宋_GB2312" w:hAnsi="仿宋_GB2312" w:eastAsia="仿宋_GB2312" w:cs="仿宋_GB2312"/>
          <w:color w:val="auto"/>
          <w:sz w:val="24"/>
          <w:szCs w:val="24"/>
          <w:highlight w:val="none"/>
        </w:rPr>
        <w:t>评审，合理评定打分，统计排序。</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 xml:space="preserve"> 编制评审报告</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评审小组完成评审后，应编写评审报告。</w:t>
      </w:r>
    </w:p>
    <w:p>
      <w:pPr>
        <w:spacing w:line="360" w:lineRule="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3.</w:t>
      </w:r>
      <w:r>
        <w:rPr>
          <w:rFonts w:hint="eastAsia" w:ascii="仿宋_GB2312" w:hAnsi="仿宋_GB2312" w:eastAsia="仿宋_GB2312" w:cs="仿宋_GB2312"/>
          <w:b/>
          <w:bCs/>
          <w:color w:val="auto"/>
          <w:sz w:val="24"/>
          <w:szCs w:val="24"/>
          <w:highlight w:val="none"/>
        </w:rPr>
        <w:t>评审打分办法</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在所有评委对每个</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的每一单项评分中，取评委打分的算术平均值作为该</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的单项得分；</w:t>
      </w:r>
      <w:r>
        <w:rPr>
          <w:rFonts w:hint="eastAsia" w:ascii="仿宋_GB2312" w:hAnsi="仿宋_GB2312" w:eastAsia="仿宋_GB2312" w:cs="仿宋_GB2312"/>
          <w:color w:val="auto"/>
          <w:sz w:val="24"/>
          <w:szCs w:val="24"/>
          <w:highlight w:val="none"/>
          <w:lang w:eastAsia="zh-CN"/>
        </w:rPr>
        <w:t>单项评分结果四舍五入</w:t>
      </w:r>
      <w:r>
        <w:rPr>
          <w:rFonts w:hint="eastAsia" w:ascii="仿宋_GB2312" w:hAnsi="仿宋_GB2312" w:eastAsia="仿宋_GB2312" w:cs="仿宋_GB2312"/>
          <w:color w:val="auto"/>
          <w:sz w:val="24"/>
          <w:szCs w:val="24"/>
          <w:highlight w:val="none"/>
        </w:rPr>
        <w:t>保留至小数点后两位。</w:t>
      </w:r>
    </w:p>
    <w:p>
      <w:pPr>
        <w:spacing w:line="360" w:lineRule="auto"/>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color w:val="auto"/>
          <w:sz w:val="24"/>
          <w:szCs w:val="24"/>
          <w:highlight w:val="none"/>
        </w:rPr>
        <w:t>3.1 技术评分细则（满分100分，</w:t>
      </w:r>
      <w:r>
        <w:rPr>
          <w:rFonts w:hint="eastAsia" w:ascii="仿宋_GB2312" w:hAnsi="仿宋_GB2312" w:eastAsia="仿宋_GB2312" w:cs="仿宋_GB2312"/>
          <w:color w:val="auto"/>
          <w:sz w:val="24"/>
          <w:szCs w:val="24"/>
          <w:highlight w:val="none"/>
          <w:lang w:eastAsia="zh-CN"/>
        </w:rPr>
        <w:t>权重</w:t>
      </w:r>
      <w:r>
        <w:rPr>
          <w:rFonts w:hint="eastAsia" w:ascii="仿宋_GB2312" w:hAnsi="仿宋_GB2312" w:eastAsia="仿宋_GB2312" w:cs="仿宋_GB2312"/>
          <w:color w:val="auto"/>
          <w:sz w:val="24"/>
          <w:szCs w:val="24"/>
          <w:highlight w:val="none"/>
          <w:lang w:val="en-US" w:eastAsia="zh-CN"/>
        </w:rPr>
        <w:t>0.4</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见下附表1）</w:t>
      </w:r>
    </w:p>
    <w:p>
      <w:pPr>
        <w:spacing w:line="240" w:lineRule="auto"/>
        <w:jc w:val="both"/>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技术评分表</w:t>
      </w:r>
    </w:p>
    <w:p>
      <w:pPr>
        <w:spacing w:line="240" w:lineRule="auto"/>
        <w:jc w:val="center"/>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评分标准</w:t>
      </w:r>
    </w:p>
    <w:p>
      <w:pPr>
        <w:jc w:val="center"/>
        <w:rPr>
          <w:rFonts w:hint="eastAsia" w:ascii="仿宋_GB2312" w:hAnsi="仿宋_GB2312" w:eastAsia="仿宋_GB2312" w:cs="仿宋_GB2312"/>
          <w:color w:val="auto"/>
          <w:sz w:val="24"/>
          <w:szCs w:val="24"/>
          <w:highlight w:val="none"/>
        </w:rPr>
      </w:pPr>
    </w:p>
    <w:tbl>
      <w:tblPr>
        <w:tblStyle w:val="5"/>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50"/>
        <w:gridCol w:w="860"/>
        <w:gridCol w:w="5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序号</w:t>
            </w:r>
          </w:p>
        </w:tc>
        <w:tc>
          <w:tcPr>
            <w:tcW w:w="790" w:type="pct"/>
            <w:noWrap w:val="0"/>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评分项目</w:t>
            </w:r>
          </w:p>
        </w:tc>
        <w:tc>
          <w:tcPr>
            <w:tcW w:w="503" w:type="pct"/>
            <w:noWrap w:val="0"/>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标准分</w:t>
            </w:r>
          </w:p>
        </w:tc>
        <w:tc>
          <w:tcPr>
            <w:tcW w:w="3281" w:type="pct"/>
            <w:noWrap w:val="0"/>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bottom"/>
          </w:tcPr>
          <w:p>
            <w:pPr>
              <w:keepNext w:val="0"/>
              <w:keepLines w:val="0"/>
              <w:widowControl w:val="0"/>
              <w:suppressLineNumbers w:val="0"/>
              <w:tabs>
                <w:tab w:val="left" w:pos="0"/>
              </w:tabs>
              <w:spacing w:before="60" w:beforeLines="25" w:beforeAutospacing="0" w:after="0" w:afterAutospacing="0" w:line="300" w:lineRule="auto"/>
              <w:ind w:left="0" w:leftChars="0" w:right="0" w:rightChar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1</w:t>
            </w:r>
          </w:p>
        </w:tc>
        <w:tc>
          <w:tcPr>
            <w:tcW w:w="790" w:type="pct"/>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
              </w:rPr>
              <w:t>资质与业绩</w:t>
            </w:r>
          </w:p>
        </w:tc>
        <w:tc>
          <w:tcPr>
            <w:tcW w:w="503" w:type="pct"/>
            <w:noWrap w:val="0"/>
            <w:vAlign w:val="center"/>
          </w:tcPr>
          <w:p>
            <w:pPr>
              <w:keepNext w:val="0"/>
              <w:keepLines w:val="0"/>
              <w:widowControl w:val="0"/>
              <w:suppressLineNumbers w:val="0"/>
              <w:spacing w:before="0" w:beforeAutospacing="0" w:after="0" w:afterAutospacing="0"/>
              <w:ind w:left="0" w:leftChars="0" w:right="0" w:rightChars="0" w:firstLine="120" w:firstLineChars="5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30</w:t>
            </w:r>
          </w:p>
        </w:tc>
        <w:tc>
          <w:tcPr>
            <w:tcW w:w="32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_GB2312" w:hAnsi="仿宋_GB2312" w:eastAsia="仿宋_GB2312" w:cs="仿宋_GB2312"/>
                <w:bCs w:val="0"/>
                <w:color w:val="auto"/>
                <w:sz w:val="24"/>
                <w:szCs w:val="24"/>
                <w:lang w:eastAsia="zh-CN"/>
              </w:rPr>
            </w:pPr>
            <w:r>
              <w:rPr>
                <w:rFonts w:hint="eastAsia" w:ascii="仿宋_GB2312" w:hAnsi="仿宋_GB2312" w:eastAsia="仿宋_GB2312" w:cs="仿宋_GB2312"/>
                <w:bCs w:val="0"/>
                <w:sz w:val="24"/>
                <w:szCs w:val="24"/>
                <w:lang w:eastAsia="zh-CN"/>
              </w:rPr>
              <w:t>①资质及</w:t>
            </w:r>
            <w:r>
              <w:rPr>
                <w:rFonts w:hint="eastAsia" w:ascii="仿宋_GB2312" w:hAnsi="仿宋_GB2312" w:eastAsia="仿宋_GB2312" w:cs="仿宋_GB2312"/>
                <w:bCs w:val="0"/>
                <w:color w:val="auto"/>
                <w:sz w:val="24"/>
                <w:szCs w:val="24"/>
              </w:rPr>
              <w:t>业绩不满足</w:t>
            </w:r>
            <w:r>
              <w:rPr>
                <w:rFonts w:hint="eastAsia" w:ascii="仿宋_GB2312" w:hAnsi="仿宋_GB2312" w:eastAsia="仿宋_GB2312" w:cs="仿宋_GB2312"/>
                <w:bCs w:val="0"/>
                <w:color w:val="auto"/>
                <w:sz w:val="24"/>
                <w:szCs w:val="24"/>
                <w:lang w:eastAsia="zh-CN"/>
              </w:rPr>
              <w:t>竞争性谈判</w:t>
            </w:r>
            <w:r>
              <w:rPr>
                <w:rFonts w:hint="eastAsia" w:ascii="仿宋_GB2312" w:hAnsi="仿宋_GB2312" w:eastAsia="仿宋_GB2312" w:cs="仿宋_GB2312"/>
                <w:bCs w:val="0"/>
                <w:color w:val="auto"/>
                <w:sz w:val="24"/>
                <w:szCs w:val="24"/>
              </w:rPr>
              <w:t>方要求不得分</w:t>
            </w:r>
            <w:r>
              <w:rPr>
                <w:rFonts w:hint="eastAsia" w:ascii="仿宋_GB2312" w:hAnsi="仿宋_GB2312" w:eastAsia="仿宋_GB2312" w:cs="仿宋_GB2312"/>
                <w:bCs w:val="0"/>
                <w:color w:val="auto"/>
                <w:sz w:val="24"/>
                <w:szCs w:val="24"/>
                <w:lang w:eastAsia="zh-CN"/>
              </w:rPr>
              <w:t>，</w:t>
            </w:r>
            <w:r>
              <w:rPr>
                <w:rFonts w:hint="eastAsia" w:ascii="仿宋_GB2312" w:hAnsi="仿宋_GB2312" w:eastAsia="仿宋_GB2312" w:cs="仿宋_GB2312"/>
                <w:bCs w:val="0"/>
                <w:color w:val="auto"/>
                <w:sz w:val="24"/>
                <w:szCs w:val="24"/>
              </w:rPr>
              <w:t>满足基本要求得</w:t>
            </w:r>
            <w:r>
              <w:rPr>
                <w:rFonts w:hint="eastAsia" w:ascii="仿宋_GB2312" w:hAnsi="仿宋_GB2312" w:eastAsia="仿宋_GB2312" w:cs="仿宋_GB2312"/>
                <w:bCs w:val="0"/>
                <w:color w:val="auto"/>
                <w:sz w:val="24"/>
                <w:szCs w:val="24"/>
                <w:lang w:val="en-US" w:eastAsia="zh-CN"/>
              </w:rPr>
              <w:t>20</w:t>
            </w:r>
            <w:r>
              <w:rPr>
                <w:rFonts w:hint="eastAsia" w:ascii="仿宋_GB2312" w:hAnsi="仿宋_GB2312" w:eastAsia="仿宋_GB2312" w:cs="仿宋_GB2312"/>
                <w:bCs w:val="0"/>
                <w:color w:val="auto"/>
                <w:sz w:val="24"/>
                <w:szCs w:val="24"/>
              </w:rPr>
              <w:t>分</w:t>
            </w:r>
            <w:r>
              <w:rPr>
                <w:rFonts w:hint="eastAsia" w:ascii="仿宋_GB2312" w:hAnsi="仿宋_GB2312" w:eastAsia="仿宋_GB2312" w:cs="仿宋_GB2312"/>
                <w:bCs w:val="0"/>
                <w:color w:val="auto"/>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Cs w:val="0"/>
                <w:color w:val="auto"/>
                <w:sz w:val="24"/>
                <w:szCs w:val="24"/>
                <w:lang w:eastAsia="zh-CN"/>
              </w:rPr>
              <w:t>②</w:t>
            </w:r>
            <w:r>
              <w:rPr>
                <w:rFonts w:hint="eastAsia" w:ascii="仿宋_GB2312" w:hAnsi="仿宋_GB2312" w:eastAsia="仿宋_GB2312" w:cs="仿宋_GB2312"/>
                <w:sz w:val="24"/>
                <w:szCs w:val="24"/>
              </w:rPr>
              <w:t>每增加</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台科勒柴油发电机组维修、保养</w:t>
            </w:r>
            <w:r>
              <w:rPr>
                <w:rFonts w:hint="eastAsia" w:ascii="仿宋_GB2312" w:hAnsi="仿宋_GB2312" w:eastAsia="仿宋_GB2312" w:cs="仿宋_GB2312"/>
                <w:sz w:val="24"/>
                <w:szCs w:val="24"/>
              </w:rPr>
              <w:t>业绩加</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，增加</w:t>
            </w:r>
            <w:r>
              <w:rPr>
                <w:rFonts w:hint="eastAsia" w:ascii="仿宋_GB2312" w:hAnsi="仿宋_GB2312" w:eastAsia="仿宋_GB2312" w:cs="仿宋_GB2312"/>
                <w:sz w:val="24"/>
                <w:szCs w:val="24"/>
                <w:lang w:val="en-US" w:eastAsia="zh-CN"/>
              </w:rPr>
              <w:t>1台柴油发电机组控制器改造业绩加2分，</w:t>
            </w:r>
            <w:r>
              <w:rPr>
                <w:rFonts w:hint="eastAsia" w:ascii="仿宋_GB2312" w:hAnsi="仿宋_GB2312" w:eastAsia="仿宋_GB2312" w:cs="仿宋_GB2312"/>
                <w:sz w:val="24"/>
                <w:szCs w:val="24"/>
                <w:lang w:eastAsia="zh-CN"/>
              </w:rPr>
              <w:t>增加</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台科勒柴油发电机组安装</w:t>
            </w:r>
            <w:r>
              <w:rPr>
                <w:rFonts w:hint="eastAsia" w:ascii="仿宋_GB2312" w:hAnsi="仿宋_GB2312" w:eastAsia="仿宋_GB2312" w:cs="仿宋_GB2312"/>
                <w:sz w:val="24"/>
                <w:szCs w:val="24"/>
              </w:rPr>
              <w:t>业绩加</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_GB2312" w:hAnsi="仿宋_GB2312" w:eastAsia="仿宋_GB2312" w:cs="仿宋_GB2312"/>
                <w:bCs/>
                <w:kern w:val="2"/>
                <w:sz w:val="24"/>
                <w:szCs w:val="24"/>
                <w:lang w:val="en-US" w:eastAsia="zh-CN" w:bidi="ar"/>
              </w:rPr>
            </w:pPr>
            <w:r>
              <w:rPr>
                <w:rFonts w:hint="eastAsia" w:ascii="仿宋_GB2312" w:hAnsi="仿宋_GB2312" w:eastAsia="仿宋_GB2312" w:cs="仿宋_GB2312"/>
                <w:sz w:val="24"/>
                <w:szCs w:val="24"/>
                <w:lang w:eastAsia="zh-CN"/>
              </w:rPr>
              <w:t>①</w:t>
            </w:r>
            <w:r>
              <w:rPr>
                <w:rFonts w:hint="eastAsia" w:ascii="仿宋_GB2312" w:hAnsi="仿宋_GB2312" w:eastAsia="仿宋_GB2312" w:cs="仿宋_GB2312"/>
                <w:sz w:val="24"/>
                <w:szCs w:val="24"/>
                <w:lang w:val="en-US" w:eastAsia="zh-CN"/>
              </w:rPr>
              <w:t>+②不超30分</w:t>
            </w:r>
            <w:r>
              <w:rPr>
                <w:rFonts w:hint="eastAsia" w:ascii="仿宋_GB2312" w:hAnsi="仿宋_GB2312" w:eastAsia="仿宋_GB2312" w:cs="仿宋_GB2312"/>
                <w:sz w:val="24"/>
                <w:szCs w:val="24"/>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center"/>
          </w:tcPr>
          <w:p>
            <w:pPr>
              <w:keepNext w:val="0"/>
              <w:keepLines w:val="0"/>
              <w:widowControl w:val="0"/>
              <w:suppressLineNumbers w:val="0"/>
              <w:tabs>
                <w:tab w:val="left" w:pos="0"/>
              </w:tabs>
              <w:spacing w:before="60" w:beforeLines="25" w:beforeAutospacing="0" w:after="0" w:afterAutospacing="0" w:line="300" w:lineRule="auto"/>
              <w:ind w:left="0" w:leftChars="0" w:right="0" w:rightChar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
              </w:rPr>
              <w:t>2</w:t>
            </w:r>
          </w:p>
        </w:tc>
        <w:tc>
          <w:tcPr>
            <w:tcW w:w="790" w:type="pct"/>
            <w:noWrap w:val="0"/>
            <w:vAlign w:val="center"/>
          </w:tcPr>
          <w:p>
            <w:pPr>
              <w:keepNext w:val="0"/>
              <w:keepLines w:val="0"/>
              <w:widowControl/>
              <w:suppressLineNumbers w:val="0"/>
              <w:spacing w:before="0" w:beforeAutospacing="0" w:after="0" w:afterAutospacing="0"/>
              <w:ind w:left="0" w:leftChars="0" w:right="0" w:rightChars="0"/>
              <w:jc w:val="left"/>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color w:val="auto"/>
                <w:sz w:val="24"/>
                <w:szCs w:val="24"/>
                <w:lang w:eastAsia="zh-CN"/>
              </w:rPr>
              <w:t>维修</w:t>
            </w:r>
            <w:r>
              <w:rPr>
                <w:rFonts w:hint="eastAsia" w:ascii="仿宋_GB2312" w:hAnsi="仿宋_GB2312" w:eastAsia="仿宋_GB2312" w:cs="仿宋_GB2312"/>
                <w:color w:val="auto"/>
                <w:sz w:val="24"/>
                <w:szCs w:val="24"/>
              </w:rPr>
              <w:t>方案</w:t>
            </w:r>
          </w:p>
        </w:tc>
        <w:tc>
          <w:tcPr>
            <w:tcW w:w="503" w:type="pct"/>
            <w:noWrap w:val="0"/>
            <w:vAlign w:val="center"/>
          </w:tcPr>
          <w:p>
            <w:pPr>
              <w:keepNext w:val="0"/>
              <w:keepLines w:val="0"/>
              <w:widowControl w:val="0"/>
              <w:suppressLineNumbers w:val="0"/>
              <w:spacing w:before="0" w:beforeAutospacing="0" w:after="0" w:afterAutospacing="0"/>
              <w:ind w:left="0" w:leftChars="0" w:right="0" w:rightChars="0" w:firstLine="120" w:firstLineChars="5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25</w:t>
            </w:r>
          </w:p>
        </w:tc>
        <w:tc>
          <w:tcPr>
            <w:tcW w:w="3281" w:type="pct"/>
            <w:noWrap w:val="0"/>
            <w:vAlign w:val="center"/>
          </w:tcPr>
          <w:p>
            <w:pPr>
              <w:keepNext w:val="0"/>
              <w:keepLines w:val="0"/>
              <w:spacing w:before="0" w:after="0" w:line="240" w:lineRule="auto"/>
              <w:ind w:left="105" w:hanging="120" w:hangingChars="5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①维修</w:t>
            </w:r>
            <w:r>
              <w:rPr>
                <w:rFonts w:hint="eastAsia" w:ascii="仿宋_GB2312" w:hAnsi="仿宋_GB2312" w:eastAsia="仿宋_GB2312" w:cs="仿宋_GB2312"/>
                <w:color w:val="auto"/>
                <w:sz w:val="24"/>
                <w:szCs w:val="24"/>
              </w:rPr>
              <w:t>方案</w:t>
            </w:r>
            <w:r>
              <w:rPr>
                <w:rFonts w:hint="eastAsia" w:ascii="仿宋_GB2312" w:hAnsi="仿宋_GB2312" w:eastAsia="仿宋_GB2312" w:cs="仿宋_GB2312"/>
                <w:color w:val="auto"/>
                <w:sz w:val="24"/>
                <w:szCs w:val="24"/>
                <w:lang w:eastAsia="zh-CN"/>
              </w:rPr>
              <w:t>最</w:t>
            </w:r>
            <w:r>
              <w:rPr>
                <w:rFonts w:hint="eastAsia" w:ascii="仿宋_GB2312" w:hAnsi="仿宋_GB2312" w:eastAsia="仿宋_GB2312" w:cs="仿宋_GB2312"/>
                <w:color w:val="auto"/>
                <w:sz w:val="24"/>
                <w:szCs w:val="24"/>
              </w:rPr>
              <w:t>详尽、针对性</w:t>
            </w:r>
            <w:r>
              <w:rPr>
                <w:rFonts w:hint="eastAsia" w:ascii="仿宋_GB2312" w:hAnsi="仿宋_GB2312" w:eastAsia="仿宋_GB2312" w:cs="仿宋_GB2312"/>
                <w:color w:val="auto"/>
                <w:sz w:val="24"/>
                <w:szCs w:val="24"/>
                <w:lang w:eastAsia="zh-CN"/>
              </w:rPr>
              <w:t>最</w:t>
            </w:r>
            <w:r>
              <w:rPr>
                <w:rFonts w:hint="eastAsia" w:ascii="仿宋_GB2312" w:hAnsi="仿宋_GB2312" w:eastAsia="仿宋_GB2312" w:cs="仿宋_GB2312"/>
                <w:color w:val="auto"/>
                <w:sz w:val="24"/>
                <w:szCs w:val="24"/>
              </w:rPr>
              <w:t>强，得</w:t>
            </w: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分，其他</w:t>
            </w:r>
            <w:r>
              <w:rPr>
                <w:rFonts w:hint="eastAsia" w:ascii="仿宋_GB2312" w:hAnsi="仿宋_GB2312" w:eastAsia="仿宋_GB2312" w:cs="仿宋_GB2312"/>
                <w:color w:val="auto"/>
                <w:sz w:val="24"/>
                <w:szCs w:val="24"/>
                <w:lang w:eastAsia="zh-CN"/>
              </w:rPr>
              <w:t>横向比较</w:t>
            </w:r>
            <w:r>
              <w:rPr>
                <w:rFonts w:hint="eastAsia" w:ascii="仿宋_GB2312" w:hAnsi="仿宋_GB2312" w:eastAsia="仿宋_GB2312" w:cs="仿宋_GB2312"/>
                <w:color w:val="auto"/>
                <w:sz w:val="24"/>
                <w:szCs w:val="24"/>
              </w:rPr>
              <w:t>酌情扣分；</w:t>
            </w:r>
          </w:p>
          <w:p>
            <w:pPr>
              <w:keepNext w:val="0"/>
              <w:keepLines w:val="0"/>
              <w:spacing w:before="0" w:after="0" w:line="240" w:lineRule="auto"/>
              <w:ind w:left="105" w:hanging="120" w:hangingChars="50"/>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②维修</w:t>
            </w:r>
            <w:r>
              <w:rPr>
                <w:rFonts w:hint="eastAsia" w:ascii="仿宋_GB2312" w:hAnsi="仿宋_GB2312" w:eastAsia="仿宋_GB2312" w:cs="仿宋_GB2312"/>
                <w:color w:val="auto"/>
                <w:sz w:val="24"/>
                <w:szCs w:val="24"/>
              </w:rPr>
              <w:t>工序</w:t>
            </w:r>
            <w:r>
              <w:rPr>
                <w:rFonts w:hint="eastAsia" w:ascii="仿宋_GB2312" w:hAnsi="仿宋_GB2312" w:eastAsia="仿宋_GB2312" w:cs="仿宋_GB2312"/>
                <w:color w:val="auto"/>
                <w:sz w:val="24"/>
                <w:szCs w:val="24"/>
                <w:lang w:eastAsia="zh-CN"/>
              </w:rPr>
              <w:t>最</w:t>
            </w:r>
            <w:r>
              <w:rPr>
                <w:rFonts w:hint="eastAsia" w:ascii="仿宋_GB2312" w:hAnsi="仿宋_GB2312" w:eastAsia="仿宋_GB2312" w:cs="仿宋_GB2312"/>
                <w:color w:val="auto"/>
                <w:sz w:val="24"/>
                <w:szCs w:val="24"/>
              </w:rPr>
              <w:t>完整、工艺科学</w:t>
            </w:r>
            <w:r>
              <w:rPr>
                <w:rFonts w:hint="eastAsia" w:ascii="仿宋_GB2312" w:hAnsi="仿宋_GB2312" w:eastAsia="仿宋_GB2312" w:cs="仿宋_GB2312"/>
                <w:color w:val="auto"/>
                <w:sz w:val="24"/>
                <w:szCs w:val="24"/>
                <w:lang w:eastAsia="zh-CN"/>
              </w:rPr>
              <w:t>最</w:t>
            </w:r>
            <w:r>
              <w:rPr>
                <w:rFonts w:hint="eastAsia" w:ascii="仿宋_GB2312" w:hAnsi="仿宋_GB2312" w:eastAsia="仿宋_GB2312" w:cs="仿宋_GB2312"/>
                <w:color w:val="auto"/>
                <w:sz w:val="24"/>
                <w:szCs w:val="24"/>
              </w:rPr>
              <w:t>具有可操作性，得</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分，其他</w:t>
            </w:r>
            <w:r>
              <w:rPr>
                <w:rFonts w:hint="eastAsia" w:ascii="仿宋_GB2312" w:hAnsi="仿宋_GB2312" w:eastAsia="仿宋_GB2312" w:cs="仿宋_GB2312"/>
                <w:color w:val="auto"/>
                <w:sz w:val="24"/>
                <w:szCs w:val="24"/>
                <w:lang w:eastAsia="zh-CN"/>
              </w:rPr>
              <w:t>横向比较</w:t>
            </w:r>
            <w:r>
              <w:rPr>
                <w:rFonts w:hint="eastAsia" w:ascii="仿宋_GB2312" w:hAnsi="仿宋_GB2312" w:eastAsia="仿宋_GB2312" w:cs="仿宋_GB2312"/>
                <w:color w:val="auto"/>
                <w:sz w:val="24"/>
                <w:szCs w:val="24"/>
              </w:rPr>
              <w:t>酌情扣分</w:t>
            </w:r>
            <w:r>
              <w:rPr>
                <w:rFonts w:hint="eastAsia" w:ascii="仿宋_GB2312" w:hAnsi="仿宋_GB2312" w:eastAsia="仿宋_GB2312" w:cs="仿宋_GB2312"/>
                <w:color w:val="auto"/>
                <w:sz w:val="24"/>
                <w:szCs w:val="24"/>
                <w:lang w:eastAsia="zh-CN"/>
              </w:rPr>
              <w:t>；</w:t>
            </w:r>
          </w:p>
          <w:p>
            <w:pPr>
              <w:keepNext w:val="0"/>
              <w:keepLines w:val="0"/>
              <w:spacing w:before="0" w:after="0" w:line="240" w:lineRule="auto"/>
              <w:ind w:left="105" w:hanging="120" w:hangingChars="50"/>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③施工进度及工期保证措施最完善，科学最合理，</w:t>
            </w:r>
            <w:r>
              <w:rPr>
                <w:rFonts w:hint="eastAsia" w:ascii="仿宋_GB2312" w:hAnsi="仿宋_GB2312" w:eastAsia="仿宋_GB2312" w:cs="仿宋_GB2312"/>
                <w:color w:val="auto"/>
                <w:sz w:val="24"/>
                <w:szCs w:val="24"/>
              </w:rPr>
              <w:t>得</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w:t>
            </w:r>
            <w:r>
              <w:rPr>
                <w:rFonts w:hint="eastAsia" w:ascii="仿宋_GB2312" w:hAnsi="仿宋_GB2312" w:eastAsia="仿宋_GB2312" w:cs="仿宋_GB2312"/>
                <w:color w:val="auto"/>
                <w:sz w:val="24"/>
                <w:szCs w:val="24"/>
                <w:lang w:eastAsia="zh-CN"/>
              </w:rPr>
              <w:t>，其它横向比较酌情扣分；</w:t>
            </w:r>
          </w:p>
          <w:p>
            <w:pPr>
              <w:keepNext w:val="0"/>
              <w:keepLines w:val="0"/>
              <w:spacing w:before="0" w:after="0" w:line="240" w:lineRule="auto"/>
              <w:ind w:left="105" w:hanging="120" w:hangingChars="5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color w:val="auto"/>
                <w:sz w:val="24"/>
                <w:szCs w:val="24"/>
                <w:lang w:eastAsia="zh-CN"/>
              </w:rPr>
              <w:t>①</w:t>
            </w:r>
            <w:r>
              <w:rPr>
                <w:rFonts w:hint="eastAsia" w:ascii="仿宋_GB2312" w:hAnsi="仿宋_GB2312" w:eastAsia="仿宋_GB2312" w:cs="仿宋_GB2312"/>
                <w:color w:val="auto"/>
                <w:sz w:val="24"/>
                <w:szCs w:val="24"/>
                <w:lang w:val="en-US" w:eastAsia="zh-CN"/>
              </w:rPr>
              <w:t>+②+③不超25分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center"/>
          </w:tcPr>
          <w:p>
            <w:pPr>
              <w:keepNext w:val="0"/>
              <w:keepLines w:val="0"/>
              <w:widowControl w:val="0"/>
              <w:suppressLineNumbers w:val="0"/>
              <w:tabs>
                <w:tab w:val="left" w:pos="0"/>
              </w:tabs>
              <w:spacing w:before="60" w:beforeLines="25" w:beforeAutospacing="0" w:after="0" w:afterAutospacing="0" w:line="300" w:lineRule="auto"/>
              <w:ind w:left="0" w:leftChars="0" w:right="0" w:rightChars="0"/>
              <w:jc w:val="center"/>
              <w:rPr>
                <w:rFonts w:hint="eastAsia" w:ascii="仿宋_GB2312" w:hAnsi="仿宋_GB2312" w:eastAsia="仿宋_GB2312" w:cs="仿宋_GB2312"/>
                <w:color w:val="auto"/>
                <w:kern w:val="2"/>
                <w:sz w:val="24"/>
                <w:szCs w:val="24"/>
                <w:highlight w:val="none"/>
                <w:lang w:val="en-US" w:eastAsia="zh-CN" w:bidi="ar"/>
              </w:rPr>
            </w:pPr>
            <w:r>
              <w:rPr>
                <w:rFonts w:hint="eastAsia" w:ascii="仿宋_GB2312" w:hAnsi="仿宋_GB2312" w:eastAsia="仿宋_GB2312" w:cs="仿宋_GB2312"/>
                <w:color w:val="auto"/>
                <w:kern w:val="2"/>
                <w:sz w:val="24"/>
                <w:szCs w:val="24"/>
                <w:highlight w:val="none"/>
                <w:lang w:val="en-US" w:eastAsia="zh-CN" w:bidi="ar"/>
              </w:rPr>
              <w:t>3</w:t>
            </w:r>
          </w:p>
        </w:tc>
        <w:tc>
          <w:tcPr>
            <w:tcW w:w="790" w:type="pct"/>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rPr>
              <w:t>安全保证体系</w:t>
            </w:r>
          </w:p>
        </w:tc>
        <w:tc>
          <w:tcPr>
            <w:tcW w:w="503" w:type="pct"/>
            <w:noWrap w:val="0"/>
            <w:vAlign w:val="center"/>
          </w:tcPr>
          <w:p>
            <w:pPr>
              <w:keepNext w:val="0"/>
              <w:keepLines w:val="0"/>
              <w:widowControl w:val="0"/>
              <w:suppressLineNumbers w:val="0"/>
              <w:spacing w:before="0" w:beforeAutospacing="0" w:after="0" w:afterAutospacing="0"/>
              <w:ind w:left="0" w:leftChars="0" w:right="0" w:rightChars="0" w:firstLine="120" w:firstLineChars="5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32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20" w:leftChars="0" w:right="0" w:rightChars="0" w:hanging="120" w:hangingChars="50"/>
              <w:jc w:val="left"/>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sz w:val="24"/>
                <w:szCs w:val="24"/>
              </w:rPr>
              <w:t>安全保证体系网</w:t>
            </w:r>
            <w:r>
              <w:rPr>
                <w:rFonts w:hint="eastAsia" w:ascii="仿宋_GB2312" w:hAnsi="仿宋_GB2312" w:eastAsia="仿宋_GB2312" w:cs="仿宋_GB2312"/>
                <w:sz w:val="24"/>
                <w:szCs w:val="24"/>
                <w:lang w:eastAsia="zh-CN"/>
              </w:rPr>
              <w:t>应</w:t>
            </w:r>
            <w:r>
              <w:rPr>
                <w:rFonts w:hint="eastAsia" w:ascii="仿宋_GB2312" w:hAnsi="仿宋_GB2312" w:eastAsia="仿宋_GB2312" w:cs="仿宋_GB2312"/>
                <w:sz w:val="24"/>
                <w:szCs w:val="24"/>
              </w:rPr>
              <w:t>构成完善，</w:t>
            </w:r>
            <w:r>
              <w:rPr>
                <w:rFonts w:hint="eastAsia" w:ascii="仿宋_GB2312" w:hAnsi="仿宋_GB2312" w:eastAsia="仿宋_GB2312" w:cs="仿宋_GB2312"/>
                <w:sz w:val="24"/>
                <w:szCs w:val="24"/>
                <w:lang w:eastAsia="zh-CN"/>
              </w:rPr>
              <w:t>安全施工措施应合理科学，</w:t>
            </w:r>
            <w:r>
              <w:rPr>
                <w:rFonts w:hint="eastAsia" w:ascii="仿宋_GB2312" w:hAnsi="仿宋_GB2312" w:eastAsia="仿宋_GB2312" w:cs="仿宋_GB2312"/>
                <w:sz w:val="24"/>
                <w:szCs w:val="24"/>
              </w:rPr>
              <w:t>安全活动</w:t>
            </w:r>
            <w:r>
              <w:rPr>
                <w:rFonts w:hint="eastAsia" w:ascii="仿宋_GB2312" w:hAnsi="仿宋_GB2312" w:eastAsia="仿宋_GB2312" w:cs="仿宋_GB2312"/>
                <w:sz w:val="24"/>
                <w:szCs w:val="24"/>
                <w:lang w:eastAsia="zh-CN"/>
              </w:rPr>
              <w:t>应</w:t>
            </w:r>
            <w:r>
              <w:rPr>
                <w:rFonts w:hint="eastAsia" w:ascii="仿宋_GB2312" w:hAnsi="仿宋_GB2312" w:eastAsia="仿宋_GB2312" w:cs="仿宋_GB2312"/>
                <w:sz w:val="24"/>
                <w:szCs w:val="24"/>
              </w:rPr>
              <w:t>内容完整且具有可操作性、可监控性、可追溯性</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安全保证体系网</w:t>
            </w:r>
            <w:r>
              <w:rPr>
                <w:rFonts w:hint="eastAsia" w:ascii="仿宋_GB2312" w:hAnsi="仿宋_GB2312" w:eastAsia="仿宋_GB2312" w:cs="仿宋_GB2312"/>
                <w:sz w:val="24"/>
                <w:szCs w:val="24"/>
                <w:lang w:eastAsia="zh-CN"/>
              </w:rPr>
              <w:t>编制情况最好的单位得满分</w:t>
            </w:r>
            <w:r>
              <w:rPr>
                <w:rFonts w:hint="eastAsia" w:ascii="仿宋_GB2312" w:hAnsi="仿宋_GB2312" w:eastAsia="仿宋_GB2312" w:cs="仿宋_GB2312"/>
                <w:sz w:val="24"/>
                <w:szCs w:val="24"/>
                <w:lang w:val="en-US" w:eastAsia="zh-CN"/>
              </w:rPr>
              <w:t>10分，其他横向比较酌情扣分</w:t>
            </w:r>
            <w:r>
              <w:rPr>
                <w:rFonts w:hint="eastAsia" w:ascii="仿宋_GB2312" w:hAnsi="仿宋_GB2312" w:eastAsia="仿宋_GB2312" w:cs="仿宋_GB2312"/>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jc w:val="center"/>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kern w:val="2"/>
                <w:sz w:val="24"/>
                <w:szCs w:val="24"/>
                <w:highlight w:val="none"/>
                <w:lang w:val="en-US" w:eastAsia="zh-CN" w:bidi="ar"/>
              </w:rPr>
              <w:t>4</w:t>
            </w:r>
          </w:p>
        </w:tc>
        <w:tc>
          <w:tcPr>
            <w:tcW w:w="790" w:type="pct"/>
            <w:noWrap w:val="0"/>
            <w:vAlign w:val="center"/>
          </w:tcPr>
          <w:p>
            <w:pPr>
              <w:keepNext w:val="0"/>
              <w:keepLines w:val="0"/>
              <w:widowControl/>
              <w:suppressLineNumbers w:val="0"/>
              <w:spacing w:before="0" w:beforeAutospacing="0" w:after="0" w:afterAutospacing="0"/>
              <w:ind w:left="0" w:leftChars="0" w:right="0" w:rightChars="0"/>
              <w:jc w:val="left"/>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sz w:val="24"/>
                <w:szCs w:val="24"/>
              </w:rPr>
              <w:t>质量保证体系</w:t>
            </w:r>
          </w:p>
        </w:tc>
        <w:tc>
          <w:tcPr>
            <w:tcW w:w="503" w:type="pct"/>
            <w:noWrap w:val="0"/>
            <w:vAlign w:val="center"/>
          </w:tcPr>
          <w:p>
            <w:pPr>
              <w:keepNext w:val="0"/>
              <w:keepLines w:val="0"/>
              <w:widowControl w:val="0"/>
              <w:suppressLineNumbers w:val="0"/>
              <w:spacing w:before="0" w:beforeAutospacing="0" w:after="0" w:afterAutospacing="0"/>
              <w:ind w:left="0" w:leftChars="0" w:right="0" w:rightChars="0" w:firstLine="120" w:firstLineChars="5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32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质量保证体系网</w:t>
            </w:r>
            <w:r>
              <w:rPr>
                <w:rFonts w:hint="eastAsia" w:ascii="仿宋_GB2312" w:hAnsi="仿宋_GB2312" w:eastAsia="仿宋_GB2312" w:cs="仿宋_GB2312"/>
                <w:sz w:val="24"/>
                <w:szCs w:val="24"/>
                <w:lang w:eastAsia="zh-CN"/>
              </w:rPr>
              <w:t>应</w:t>
            </w:r>
            <w:r>
              <w:rPr>
                <w:rFonts w:hint="eastAsia" w:ascii="仿宋_GB2312" w:hAnsi="仿宋_GB2312" w:eastAsia="仿宋_GB2312" w:cs="仿宋_GB2312"/>
                <w:sz w:val="24"/>
                <w:szCs w:val="24"/>
              </w:rPr>
              <w:t>构成完善，质量活动内容</w:t>
            </w:r>
            <w:r>
              <w:rPr>
                <w:rFonts w:hint="eastAsia" w:ascii="仿宋_GB2312" w:hAnsi="仿宋_GB2312" w:eastAsia="仿宋_GB2312" w:cs="仿宋_GB2312"/>
                <w:sz w:val="24"/>
                <w:szCs w:val="24"/>
                <w:lang w:eastAsia="zh-CN"/>
              </w:rPr>
              <w:t>应</w:t>
            </w:r>
            <w:r>
              <w:rPr>
                <w:rFonts w:hint="eastAsia" w:ascii="仿宋_GB2312" w:hAnsi="仿宋_GB2312" w:eastAsia="仿宋_GB2312" w:cs="仿宋_GB2312"/>
                <w:sz w:val="24"/>
                <w:szCs w:val="24"/>
              </w:rPr>
              <w:t>完整且具有可操作性、可监控性、可追溯性</w:t>
            </w:r>
            <w:r>
              <w:rPr>
                <w:rFonts w:hint="eastAsia" w:ascii="仿宋_GB2312" w:hAnsi="仿宋_GB2312" w:eastAsia="仿宋_GB2312" w:cs="仿宋_GB2312"/>
                <w:sz w:val="24"/>
                <w:szCs w:val="24"/>
                <w:lang w:eastAsia="zh-CN"/>
              </w:rPr>
              <w:t>，质量保证体系编制情况最好的单位得满分</w:t>
            </w:r>
            <w:r>
              <w:rPr>
                <w:rFonts w:hint="eastAsia" w:ascii="仿宋_GB2312" w:hAnsi="仿宋_GB2312" w:eastAsia="仿宋_GB2312" w:cs="仿宋_GB2312"/>
                <w:sz w:val="24"/>
                <w:szCs w:val="24"/>
                <w:lang w:val="en-US" w:eastAsia="zh-CN"/>
              </w:rPr>
              <w:t>10分，其他横向比较酌情扣分</w:t>
            </w:r>
            <w:r>
              <w:rPr>
                <w:rFonts w:hint="eastAsia" w:ascii="仿宋_GB2312" w:hAnsi="仿宋_GB2312" w:eastAsia="仿宋_GB2312" w:cs="仿宋_GB2312"/>
                <w:bCs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jc w:val="center"/>
              <w:rPr>
                <w:rFonts w:hint="eastAsia" w:ascii="仿宋_GB2312" w:hAnsi="仿宋_GB2312" w:eastAsia="仿宋_GB2312" w:cs="仿宋_GB2312"/>
                <w:b/>
                <w:color w:val="auto"/>
                <w:kern w:val="2"/>
                <w:sz w:val="24"/>
                <w:szCs w:val="24"/>
                <w:highlight w:val="none"/>
                <w:lang w:val="en-US" w:eastAsia="zh-CN" w:bidi="ar-SA"/>
              </w:rPr>
            </w:pPr>
            <w:r>
              <w:rPr>
                <w:rFonts w:hint="eastAsia" w:ascii="仿宋_GB2312" w:hAnsi="仿宋_GB2312" w:eastAsia="仿宋_GB2312" w:cs="仿宋_GB2312"/>
                <w:b/>
                <w:color w:val="auto"/>
                <w:kern w:val="2"/>
                <w:sz w:val="24"/>
                <w:szCs w:val="24"/>
                <w:highlight w:val="none"/>
                <w:lang w:val="en-US" w:eastAsia="zh-CN" w:bidi="ar-SA"/>
              </w:rPr>
              <w:t>6</w:t>
            </w:r>
          </w:p>
        </w:tc>
        <w:tc>
          <w:tcPr>
            <w:tcW w:w="790" w:type="pct"/>
            <w:noWrap w:val="0"/>
            <w:vAlign w:val="center"/>
          </w:tcPr>
          <w:p>
            <w:pPr>
              <w:keepNext w:val="0"/>
              <w:keepLines w:val="0"/>
              <w:widowControl/>
              <w:suppressLineNumbers w:val="0"/>
              <w:spacing w:before="0" w:beforeAutospacing="0" w:after="0" w:afterAutospacing="0"/>
              <w:ind w:left="0" w:leftChars="0" w:right="0" w:rightChars="0"/>
              <w:jc w:val="left"/>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val="0"/>
                <w:sz w:val="24"/>
                <w:szCs w:val="24"/>
                <w:lang w:eastAsia="zh-CN"/>
              </w:rPr>
              <w:t>竞争性谈判</w:t>
            </w:r>
            <w:r>
              <w:rPr>
                <w:rFonts w:hint="eastAsia" w:ascii="仿宋_GB2312" w:hAnsi="仿宋_GB2312" w:eastAsia="仿宋_GB2312" w:cs="仿宋_GB2312"/>
                <w:bCs w:val="0"/>
                <w:sz w:val="24"/>
                <w:szCs w:val="24"/>
              </w:rPr>
              <w:t>响应性</w:t>
            </w:r>
            <w:r>
              <w:rPr>
                <w:rFonts w:hint="eastAsia" w:ascii="仿宋_GB2312" w:hAnsi="仿宋_GB2312" w:eastAsia="仿宋_GB2312" w:cs="仿宋_GB2312"/>
                <w:sz w:val="24"/>
                <w:szCs w:val="24"/>
              </w:rPr>
              <w:t>及规范完整性</w:t>
            </w:r>
          </w:p>
        </w:tc>
        <w:tc>
          <w:tcPr>
            <w:tcW w:w="50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firstLine="120" w:firstLineChars="5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25</w:t>
            </w:r>
          </w:p>
        </w:tc>
        <w:tc>
          <w:tcPr>
            <w:tcW w:w="32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60" w:beforeLines="25" w:beforeAutospacing="0" w:after="0" w:afterAutospacing="0" w:line="240" w:lineRule="auto"/>
              <w:ind w:left="0" w:leftChars="0" w:right="0" w:rightChars="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sz w:val="24"/>
                <w:szCs w:val="24"/>
              </w:rPr>
              <w:t>对</w:t>
            </w:r>
            <w:r>
              <w:rPr>
                <w:rFonts w:hint="eastAsia" w:ascii="仿宋_GB2312" w:hAnsi="仿宋_GB2312" w:eastAsia="仿宋_GB2312" w:cs="仿宋_GB2312"/>
                <w:color w:val="auto"/>
                <w:sz w:val="24"/>
                <w:szCs w:val="24"/>
                <w:lang w:eastAsia="zh-CN"/>
              </w:rPr>
              <w:t>竞争性谈判文件</w:t>
            </w:r>
            <w:r>
              <w:rPr>
                <w:rFonts w:hint="eastAsia" w:ascii="仿宋_GB2312" w:hAnsi="仿宋_GB2312" w:eastAsia="仿宋_GB2312" w:cs="仿宋_GB2312"/>
                <w:color w:val="auto"/>
                <w:sz w:val="24"/>
                <w:szCs w:val="24"/>
              </w:rPr>
              <w:t>内工作范围、技术要求、人员及工器具配置、安全及质量管理、材料、备品及仪器设备等响应好，且标书编制规范完整</w:t>
            </w:r>
            <w:r>
              <w:rPr>
                <w:rFonts w:hint="eastAsia" w:ascii="仿宋_GB2312" w:hAnsi="仿宋_GB2312" w:eastAsia="仿宋_GB2312" w:cs="仿宋_GB2312"/>
                <w:color w:val="auto"/>
                <w:sz w:val="24"/>
                <w:szCs w:val="24"/>
                <w:lang w:eastAsia="zh-CN"/>
              </w:rPr>
              <w:t>，响应性及规范完整性最好的单位</w:t>
            </w:r>
            <w:r>
              <w:rPr>
                <w:rFonts w:hint="eastAsia" w:ascii="仿宋_GB2312" w:hAnsi="仿宋_GB2312" w:eastAsia="仿宋_GB2312" w:cs="仿宋_GB2312"/>
                <w:color w:val="auto"/>
                <w:sz w:val="24"/>
                <w:szCs w:val="24"/>
              </w:rPr>
              <w:t>得满分25分，其他</w:t>
            </w:r>
            <w:r>
              <w:rPr>
                <w:rFonts w:hint="eastAsia" w:ascii="仿宋_GB2312" w:hAnsi="仿宋_GB2312" w:eastAsia="仿宋_GB2312" w:cs="仿宋_GB2312"/>
                <w:color w:val="auto"/>
                <w:sz w:val="24"/>
                <w:szCs w:val="24"/>
                <w:lang w:eastAsia="zh-CN"/>
              </w:rPr>
              <w:t>横向比较</w:t>
            </w:r>
            <w:r>
              <w:rPr>
                <w:rFonts w:hint="eastAsia" w:ascii="仿宋_GB2312" w:hAnsi="仿宋_GB2312" w:eastAsia="仿宋_GB2312" w:cs="仿宋_GB2312"/>
                <w:color w:val="auto"/>
                <w:sz w:val="24"/>
                <w:szCs w:val="24"/>
              </w:rPr>
              <w:t>酌情扣分</w:t>
            </w:r>
            <w:r>
              <w:rPr>
                <w:rFonts w:hint="eastAsia" w:ascii="仿宋_GB2312" w:hAnsi="仿宋_GB2312" w:eastAsia="仿宋_GB2312" w:cs="仿宋_GB2312"/>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jc w:val="center"/>
              <w:rPr>
                <w:rFonts w:hint="eastAsia" w:ascii="仿宋_GB2312" w:hAnsi="仿宋_GB2312" w:eastAsia="仿宋_GB2312" w:cs="仿宋_GB2312"/>
                <w:b/>
                <w:color w:val="auto"/>
                <w:kern w:val="2"/>
                <w:sz w:val="24"/>
                <w:szCs w:val="24"/>
                <w:highlight w:val="none"/>
                <w:lang w:val="en-US" w:eastAsia="zh-CN" w:bidi="ar-SA"/>
              </w:rPr>
            </w:pPr>
          </w:p>
        </w:tc>
        <w:tc>
          <w:tcPr>
            <w:tcW w:w="790"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jc w:val="distribute"/>
              <w:rPr>
                <w:rFonts w:hint="eastAsia" w:ascii="仿宋_GB2312" w:hAnsi="仿宋_GB2312" w:eastAsia="仿宋_GB2312" w:cs="仿宋_GB2312"/>
                <w:b/>
                <w:color w:val="auto"/>
                <w:kern w:val="2"/>
                <w:sz w:val="24"/>
                <w:szCs w:val="24"/>
                <w:highlight w:val="none"/>
                <w:lang w:val="en-US" w:eastAsia="zh-CN" w:bidi="ar-SA"/>
              </w:rPr>
            </w:pPr>
            <w:r>
              <w:rPr>
                <w:rFonts w:hint="eastAsia" w:ascii="仿宋_GB2312" w:hAnsi="仿宋_GB2312" w:eastAsia="仿宋_GB2312" w:cs="仿宋_GB2312"/>
                <w:b/>
                <w:color w:val="auto"/>
                <w:kern w:val="2"/>
                <w:sz w:val="24"/>
                <w:szCs w:val="24"/>
                <w:highlight w:val="none"/>
                <w:lang w:val="en-US" w:eastAsia="zh-CN" w:bidi="ar-SA"/>
              </w:rPr>
              <w:t>合计</w:t>
            </w:r>
          </w:p>
        </w:tc>
        <w:tc>
          <w:tcPr>
            <w:tcW w:w="50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firstLine="118" w:firstLineChars="49"/>
              <w:jc w:val="both"/>
              <w:rPr>
                <w:rFonts w:hint="eastAsia" w:ascii="仿宋_GB2312" w:hAnsi="仿宋_GB2312" w:eastAsia="仿宋_GB2312" w:cs="仿宋_GB2312"/>
                <w:b/>
                <w:color w:val="auto"/>
                <w:kern w:val="2"/>
                <w:sz w:val="24"/>
                <w:szCs w:val="24"/>
                <w:highlight w:val="none"/>
                <w:lang w:val="en-US" w:eastAsia="zh-CN" w:bidi="ar-SA"/>
              </w:rPr>
            </w:pPr>
            <w:r>
              <w:rPr>
                <w:rFonts w:hint="eastAsia" w:ascii="仿宋_GB2312" w:hAnsi="仿宋_GB2312" w:eastAsia="仿宋_GB2312" w:cs="仿宋_GB2312"/>
                <w:b/>
                <w:color w:val="auto"/>
                <w:kern w:val="2"/>
                <w:sz w:val="24"/>
                <w:szCs w:val="24"/>
                <w:highlight w:val="none"/>
                <w:lang w:val="en-US" w:eastAsia="zh-CN" w:bidi="ar"/>
              </w:rPr>
              <w:t>100</w:t>
            </w:r>
          </w:p>
        </w:tc>
        <w:tc>
          <w:tcPr>
            <w:tcW w:w="3281" w:type="pct"/>
            <w:noWrap w:val="0"/>
            <w:vAlign w:val="center"/>
          </w:tcPr>
          <w:p>
            <w:pPr>
              <w:keepNext w:val="0"/>
              <w:keepLines w:val="0"/>
              <w:widowControl w:val="0"/>
              <w:suppressLineNumbers w:val="0"/>
              <w:spacing w:before="60" w:beforeLines="25" w:beforeAutospacing="0" w:after="0" w:afterAutospacing="0" w:line="240" w:lineRule="auto"/>
              <w:ind w:left="0" w:leftChars="0" w:right="0" w:rightChars="0"/>
              <w:jc w:val="both"/>
              <w:rPr>
                <w:rFonts w:hint="eastAsia" w:ascii="仿宋_GB2312" w:hAnsi="仿宋_GB2312" w:eastAsia="仿宋_GB2312" w:cs="仿宋_GB2312"/>
                <w:b/>
                <w:color w:val="auto"/>
                <w:kern w:val="2"/>
                <w:sz w:val="24"/>
                <w:szCs w:val="24"/>
                <w:highlight w:val="none"/>
                <w:lang w:val="en-US" w:eastAsia="zh-CN" w:bidi="ar-SA"/>
              </w:rPr>
            </w:pPr>
          </w:p>
        </w:tc>
      </w:tr>
    </w:tbl>
    <w:p>
      <w:pPr>
        <w:pStyle w:val="3"/>
        <w:rPr>
          <w:rFonts w:hint="eastAsia" w:ascii="仿宋_GB2312" w:hAnsi="仿宋_GB2312" w:eastAsia="仿宋_GB2312" w:cs="仿宋_GB2312"/>
          <w:color w:val="auto"/>
          <w:sz w:val="24"/>
          <w:szCs w:val="24"/>
          <w:highlight w:val="none"/>
        </w:rPr>
      </w:pP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3.2报价评分（满分100分</w:t>
      </w:r>
      <w:r>
        <w:rPr>
          <w:rFonts w:hint="eastAsia" w:ascii="仿宋_GB2312" w:hAnsi="仿宋_GB2312" w:eastAsia="仿宋_GB2312" w:cs="仿宋_GB2312"/>
          <w:color w:val="auto"/>
          <w:sz w:val="24"/>
          <w:szCs w:val="24"/>
          <w:highlight w:val="none"/>
          <w:lang w:eastAsia="zh-CN"/>
        </w:rPr>
        <w:t>，权重</w:t>
      </w:r>
      <w:r>
        <w:rPr>
          <w:rFonts w:hint="eastAsia" w:ascii="仿宋_GB2312" w:hAnsi="仿宋_GB2312" w:eastAsia="仿宋_GB2312" w:cs="仿宋_GB2312"/>
          <w:color w:val="auto"/>
          <w:sz w:val="24"/>
          <w:szCs w:val="24"/>
          <w:highlight w:val="none"/>
          <w:lang w:val="en-US" w:eastAsia="zh-CN"/>
        </w:rPr>
        <w:t>0.6</w:t>
      </w:r>
      <w:r>
        <w:rPr>
          <w:rFonts w:hint="eastAsia" w:ascii="仿宋_GB2312" w:hAnsi="仿宋_GB2312" w:eastAsia="仿宋_GB2312" w:cs="仿宋_GB2312"/>
          <w:color w:val="auto"/>
          <w:sz w:val="24"/>
          <w:szCs w:val="24"/>
          <w:highlight w:val="none"/>
        </w:rPr>
        <w:t>）</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3.2.1确定评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价（以总价为评标标准）</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价为经调整后的</w:t>
      </w:r>
      <w:r>
        <w:rPr>
          <w:rFonts w:hint="eastAsia" w:ascii="仿宋_GB2312" w:hAnsi="仿宋_GB2312" w:eastAsia="仿宋_GB2312" w:cs="仿宋_GB2312"/>
          <w:color w:val="auto"/>
          <w:sz w:val="24"/>
          <w:szCs w:val="24"/>
          <w:highlight w:val="none"/>
          <w:lang w:eastAsia="zh-CN"/>
        </w:rPr>
        <w:t>各报价人的最终</w:t>
      </w:r>
      <w:r>
        <w:rPr>
          <w:rFonts w:hint="eastAsia" w:ascii="仿宋_GB2312" w:hAnsi="仿宋_GB2312" w:eastAsia="仿宋_GB2312" w:cs="仿宋_GB2312"/>
          <w:color w:val="auto"/>
          <w:sz w:val="24"/>
          <w:szCs w:val="24"/>
          <w:highlight w:val="none"/>
        </w:rPr>
        <w:t>综合含税总价。</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说明：</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（1）若因税金不一致，则在评标时修正到同一个标准。</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价仅作为评审时将各</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报价调整到同一水平，以便进行比较，中选后合同</w:t>
      </w:r>
      <w:r>
        <w:rPr>
          <w:rFonts w:hint="eastAsia" w:ascii="仿宋_GB2312" w:hAnsi="仿宋_GB2312" w:eastAsia="仿宋_GB2312" w:cs="仿宋_GB2312"/>
          <w:color w:val="auto"/>
          <w:sz w:val="24"/>
          <w:szCs w:val="24"/>
          <w:highlight w:val="none"/>
          <w:lang w:eastAsia="zh-CN"/>
        </w:rPr>
        <w:t>暂定含税金额</w:t>
      </w:r>
      <w:r>
        <w:rPr>
          <w:rFonts w:hint="eastAsia" w:ascii="仿宋_GB2312" w:hAnsi="仿宋_GB2312" w:eastAsia="仿宋_GB2312" w:cs="仿宋_GB2312"/>
          <w:color w:val="auto"/>
          <w:sz w:val="24"/>
          <w:szCs w:val="24"/>
          <w:highlight w:val="none"/>
        </w:rPr>
        <w:t>仍然为</w:t>
      </w:r>
      <w:r>
        <w:rPr>
          <w:rFonts w:hint="eastAsia" w:ascii="仿宋_GB2312" w:hAnsi="仿宋_GB2312" w:eastAsia="仿宋_GB2312" w:cs="仿宋_GB2312"/>
          <w:color w:val="auto"/>
          <w:sz w:val="24"/>
          <w:szCs w:val="24"/>
          <w:highlight w:val="none"/>
          <w:lang w:eastAsia="zh-CN"/>
        </w:rPr>
        <w:t>中选人最终</w:t>
      </w:r>
      <w:r>
        <w:rPr>
          <w:rFonts w:hint="eastAsia" w:ascii="仿宋_GB2312" w:hAnsi="仿宋_GB2312" w:eastAsia="仿宋_GB2312" w:cs="仿宋_GB2312"/>
          <w:color w:val="auto"/>
          <w:sz w:val="24"/>
          <w:szCs w:val="24"/>
          <w:highlight w:val="none"/>
        </w:rPr>
        <w:t>综合含税总价。</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3.2.2 报价得分</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的最低评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价得分为100分。各</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的评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价高于有效最低评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价，每高1%扣0.5分，扣完为止。计算分值时保留小数点后二位。</w:t>
      </w:r>
    </w:p>
    <w:p>
      <w:pPr>
        <w:spacing w:line="360" w:lineRule="auto"/>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报价得分＝100-[(评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价－有效最低评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 有效最低评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价×100]×0.5。</w:t>
      </w:r>
    </w:p>
    <w:p>
      <w:pPr>
        <w:spacing w:line="360" w:lineRule="auto"/>
        <w:jc w:val="lef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 xml:space="preserve">4  </w:t>
      </w:r>
      <w:r>
        <w:rPr>
          <w:rFonts w:hint="eastAsia" w:ascii="仿宋_GB2312" w:hAnsi="仿宋_GB2312" w:eastAsia="仿宋_GB2312" w:cs="仿宋_GB2312"/>
          <w:b/>
          <w:bCs/>
          <w:color w:val="auto"/>
          <w:sz w:val="24"/>
          <w:szCs w:val="24"/>
          <w:highlight w:val="none"/>
        </w:rPr>
        <w:t>综合评分</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满分为100分，其中技术评分权重为0.40；报价权重为0.60。</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单位综合得分=技术得分×0.4+报价得分×0.6</w:t>
      </w:r>
    </w:p>
    <w:p>
      <w:pPr>
        <w:spacing w:line="360" w:lineRule="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5</w:t>
      </w:r>
      <w:r>
        <w:rPr>
          <w:rFonts w:hint="eastAsia" w:ascii="仿宋_GB2312" w:hAnsi="仿宋_GB2312" w:eastAsia="仿宋_GB2312" w:cs="仿宋_GB2312"/>
          <w:b/>
          <w:bCs/>
          <w:color w:val="auto"/>
          <w:sz w:val="24"/>
          <w:szCs w:val="24"/>
          <w:highlight w:val="none"/>
          <w:lang w:val="en-US" w:eastAsia="zh-CN"/>
        </w:rPr>
        <w:t xml:space="preserve">  </w:t>
      </w:r>
      <w:r>
        <w:rPr>
          <w:rFonts w:hint="eastAsia" w:ascii="仿宋_GB2312" w:hAnsi="仿宋_GB2312" w:eastAsia="仿宋_GB2312" w:cs="仿宋_GB2312"/>
          <w:b/>
          <w:bCs/>
          <w:color w:val="auto"/>
          <w:sz w:val="24"/>
          <w:szCs w:val="24"/>
          <w:highlight w:val="none"/>
        </w:rPr>
        <w:t>综合排序的原则</w:t>
      </w:r>
    </w:p>
    <w:p>
      <w:pPr>
        <w:spacing w:line="360" w:lineRule="auto"/>
        <w:ind w:firstLine="480"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评审小组根据综合得分情况</w:t>
      </w:r>
      <w:r>
        <w:rPr>
          <w:rFonts w:hint="eastAsia" w:ascii="仿宋_GB2312" w:hAnsi="仿宋_GB2312" w:eastAsia="仿宋_GB2312" w:cs="仿宋_GB2312"/>
          <w:bCs/>
          <w:color w:val="auto"/>
          <w:sz w:val="24"/>
          <w:szCs w:val="24"/>
          <w:highlight w:val="none"/>
        </w:rPr>
        <w:t>按得分高低进行推荐排序</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Cs/>
          <w:color w:val="auto"/>
          <w:sz w:val="24"/>
          <w:szCs w:val="24"/>
          <w:highlight w:val="none"/>
        </w:rPr>
        <w:t>并推荐得分前二名的为第一、第二候选人</w:t>
      </w:r>
      <w:r>
        <w:rPr>
          <w:rFonts w:hint="eastAsia" w:ascii="仿宋_GB2312" w:hAnsi="仿宋_GB2312" w:eastAsia="仿宋_GB2312" w:cs="仿宋_GB2312"/>
          <w:bCs/>
          <w:color w:val="auto"/>
          <w:sz w:val="24"/>
          <w:szCs w:val="24"/>
          <w:highlight w:val="none"/>
          <w:lang w:eastAsia="zh-CN"/>
        </w:rPr>
        <w:t>，甲方</w:t>
      </w:r>
      <w:r>
        <w:rPr>
          <w:rFonts w:hint="eastAsia" w:ascii="仿宋_GB2312" w:hAnsi="仿宋_GB2312" w:eastAsia="仿宋_GB2312" w:cs="仿宋_GB2312"/>
          <w:bCs/>
          <w:color w:val="auto"/>
          <w:sz w:val="24"/>
          <w:szCs w:val="24"/>
          <w:highlight w:val="none"/>
        </w:rPr>
        <w:t>与其中一名签订合同</w:t>
      </w:r>
      <w:r>
        <w:rPr>
          <w:rFonts w:hint="eastAsia" w:ascii="仿宋_GB2312" w:hAnsi="仿宋_GB2312" w:eastAsia="仿宋_GB2312" w:cs="仿宋_GB2312"/>
          <w:bCs/>
          <w:color w:val="auto"/>
          <w:sz w:val="24"/>
          <w:szCs w:val="24"/>
          <w:highlight w:val="none"/>
          <w:lang w:eastAsia="zh-CN"/>
        </w:rPr>
        <w:t>，中选单位不与甲方签订书面合同或签订书面合同过程中对项目实质性条款提出变更的，甲方有权取消其中选资格，扣除其报价保证金，并有权按照项目评审排名选择与下一顺位报价人签订书面合同</w:t>
      </w:r>
      <w:r>
        <w:rPr>
          <w:rFonts w:hint="eastAsia" w:ascii="仿宋_GB2312" w:hAnsi="仿宋_GB2312" w:eastAsia="仿宋_GB2312" w:cs="仿宋_GB2312"/>
          <w:bCs/>
          <w:color w:val="auto"/>
          <w:sz w:val="24"/>
          <w:szCs w:val="24"/>
          <w:highlight w:val="none"/>
        </w:rPr>
        <w:t>。</w:t>
      </w:r>
    </w:p>
    <w:p>
      <w:pPr>
        <w:rPr>
          <w:rFonts w:hint="eastAsia" w:ascii="仿宋_GB2312" w:hAnsi="仿宋_GB2312" w:eastAsia="仿宋_GB2312" w:cs="仿宋_GB2312"/>
          <w:sz w:val="24"/>
        </w:rPr>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rPr>
    </w:pPr>
    <w:r>
      <w:rPr>
        <w:rFonts w:hint="eastAsia" w:ascii="宋体" w:hAnsi="宋体" w:eastAsia="宋体" w:cs="宋体"/>
        <w:szCs w:val="21"/>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5MjEyNmI2M2VlODMyZWZlMzFhOWEzYmY0YTNiZWEifQ=="/>
  </w:docVars>
  <w:rsids>
    <w:rsidRoot w:val="769F5C02"/>
    <w:rsid w:val="009408B4"/>
    <w:rsid w:val="01D11A28"/>
    <w:rsid w:val="08C27FA9"/>
    <w:rsid w:val="100C2B38"/>
    <w:rsid w:val="104B75B6"/>
    <w:rsid w:val="109212FD"/>
    <w:rsid w:val="11811E1A"/>
    <w:rsid w:val="1D5361C8"/>
    <w:rsid w:val="1DB24DC5"/>
    <w:rsid w:val="201F6EE4"/>
    <w:rsid w:val="21CF63EA"/>
    <w:rsid w:val="23FB7198"/>
    <w:rsid w:val="31705AB0"/>
    <w:rsid w:val="31AA7786"/>
    <w:rsid w:val="331D39E0"/>
    <w:rsid w:val="338C622B"/>
    <w:rsid w:val="3A445A5E"/>
    <w:rsid w:val="3BBF40E9"/>
    <w:rsid w:val="4A0C39AB"/>
    <w:rsid w:val="4A5C3A92"/>
    <w:rsid w:val="66BD48AE"/>
    <w:rsid w:val="67313DEE"/>
    <w:rsid w:val="6D1F1812"/>
    <w:rsid w:val="6D261CBD"/>
    <w:rsid w:val="769F5C02"/>
    <w:rsid w:val="773000B7"/>
    <w:rsid w:val="7ABF6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2023-07-31T06:10:00Z</dcterms:created>
  <dc:creator>刘继行</dc:creator>
  <cp:lastModifiedBy>杨成斌</cp:lastModifiedBy>
  <dcterms:modified xsi:type="dcterms:W3CDTF">2024-02-29T08:12:36Z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26DC4E22E86A4175AEE2A204BFA6E6EE</vt:lpwstr>
  </property>
</Properties>
</file>