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宋体" w:hAnsi="宋体" w:eastAsia="宋体" w:cs="宋体"/>
          <w:b/>
          <w:bCs/>
          <w:color w:val="auto"/>
          <w:sz w:val="30"/>
          <w:szCs w:val="30"/>
          <w:highlight w:val="none"/>
          <w:lang w:val="en-US" w:eastAsia="zh-CN"/>
        </w:rPr>
        <w:t xml:space="preserve">   </w:t>
      </w:r>
      <w:r>
        <w:rPr>
          <w:rFonts w:hint="eastAsia" w:ascii="方正小标宋简体" w:hAnsi="方正小标宋简体" w:eastAsia="方正小标宋简体" w:cs="方正小标宋简体"/>
          <w:b/>
          <w:bCs/>
          <w:color w:val="auto"/>
          <w:sz w:val="44"/>
          <w:szCs w:val="44"/>
          <w:highlight w:val="none"/>
        </w:rPr>
        <w:t>评审办法</w:t>
      </w:r>
    </w:p>
    <w:p>
      <w:pPr>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 xml:space="preserve">1  </w:t>
      </w:r>
      <w:r>
        <w:rPr>
          <w:rFonts w:hint="eastAsia" w:ascii="仿宋_GB2312" w:hAnsi="仿宋_GB2312" w:eastAsia="仿宋_GB2312" w:cs="仿宋_GB2312"/>
          <w:b/>
          <w:bCs/>
          <w:color w:val="auto"/>
          <w:sz w:val="24"/>
          <w:szCs w:val="24"/>
          <w:highlight w:val="none"/>
        </w:rPr>
        <w:t>评审机构及成员</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本项目成立评审小组。评审工作由评审小组负责。</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评审小组共5人,由</w:t>
      </w: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的技术、经济专家组成，另设监</w:t>
      </w:r>
      <w:r>
        <w:rPr>
          <w:rFonts w:hint="eastAsia" w:ascii="仿宋_GB2312" w:hAnsi="仿宋_GB2312" w:eastAsia="仿宋_GB2312" w:cs="仿宋_GB2312"/>
          <w:color w:val="auto"/>
          <w:sz w:val="24"/>
          <w:szCs w:val="24"/>
          <w:highlight w:val="none"/>
          <w:lang w:eastAsia="zh-CN"/>
        </w:rPr>
        <w:t>督</w:t>
      </w:r>
      <w:r>
        <w:rPr>
          <w:rFonts w:hint="eastAsia" w:ascii="仿宋_GB2312" w:hAnsi="仿宋_GB2312" w:eastAsia="仿宋_GB2312" w:cs="仿宋_GB2312"/>
          <w:color w:val="auto"/>
          <w:sz w:val="24"/>
          <w:szCs w:val="24"/>
          <w:highlight w:val="none"/>
        </w:rPr>
        <w:t>组1人。</w:t>
      </w:r>
    </w:p>
    <w:p>
      <w:pPr>
        <w:spacing w:line="360" w:lineRule="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 xml:space="preserve">2  </w:t>
      </w:r>
      <w:r>
        <w:rPr>
          <w:rFonts w:hint="eastAsia" w:ascii="仿宋_GB2312" w:hAnsi="仿宋_GB2312" w:eastAsia="仿宋_GB2312" w:cs="仿宋_GB2312"/>
          <w:b/>
          <w:bCs/>
          <w:color w:val="auto"/>
          <w:sz w:val="24"/>
          <w:szCs w:val="24"/>
          <w:highlight w:val="none"/>
        </w:rPr>
        <w:t>评审程序和内容</w:t>
      </w:r>
      <w:r>
        <w:rPr>
          <w:rFonts w:hint="eastAsia" w:ascii="仿宋_GB2312" w:hAnsi="仿宋_GB2312" w:eastAsia="仿宋_GB2312" w:cs="仿宋_GB2312"/>
          <w:b/>
          <w:bCs/>
          <w:color w:val="auto"/>
          <w:sz w:val="24"/>
          <w:szCs w:val="24"/>
          <w:highlight w:val="none"/>
          <w:lang w:eastAsia="zh-CN"/>
        </w:rPr>
        <w:t>（先技术评审，再商务评审）</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阅读</w:t>
      </w:r>
      <w:r>
        <w:rPr>
          <w:rFonts w:hint="eastAsia" w:ascii="仿宋_GB2312" w:hAnsi="仿宋_GB2312" w:eastAsia="仿宋_GB2312" w:cs="仿宋_GB2312"/>
          <w:color w:val="auto"/>
          <w:sz w:val="24"/>
          <w:szCs w:val="24"/>
          <w:highlight w:val="none"/>
          <w:lang w:eastAsia="zh-CN"/>
        </w:rPr>
        <w:t>竞争性谈判公告</w:t>
      </w:r>
      <w:r>
        <w:rPr>
          <w:rFonts w:hint="eastAsia" w:ascii="仿宋_GB2312" w:hAnsi="仿宋_GB2312" w:eastAsia="仿宋_GB2312" w:cs="仿宋_GB2312"/>
          <w:color w:val="auto"/>
          <w:sz w:val="24"/>
          <w:szCs w:val="24"/>
          <w:highlight w:val="none"/>
        </w:rPr>
        <w:t>及有关资料。</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对证明具备</w:t>
      </w:r>
      <w:r>
        <w:rPr>
          <w:rFonts w:hint="eastAsia" w:ascii="仿宋_GB2312" w:hAnsi="仿宋_GB2312" w:eastAsia="仿宋_GB2312" w:cs="仿宋_GB2312"/>
          <w:color w:val="auto"/>
          <w:sz w:val="24"/>
          <w:szCs w:val="24"/>
          <w:highlight w:val="none"/>
          <w:lang w:eastAsia="zh-CN"/>
        </w:rPr>
        <w:t>竞争性谈判</w:t>
      </w:r>
      <w:r>
        <w:rPr>
          <w:rFonts w:hint="eastAsia" w:ascii="仿宋_GB2312" w:hAnsi="仿宋_GB2312" w:eastAsia="仿宋_GB2312" w:cs="仿宋_GB2312"/>
          <w:color w:val="auto"/>
          <w:sz w:val="24"/>
          <w:szCs w:val="24"/>
          <w:highlight w:val="none"/>
        </w:rPr>
        <w:t>资格的原始文件的复印件（包括营业执照、银行资信证明等）、授权委托书等进行评估。</w:t>
      </w:r>
    </w:p>
    <w:p>
      <w:pPr>
        <w:spacing w:line="36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2.2 </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文件澄清</w:t>
      </w:r>
      <w:r>
        <w:rPr>
          <w:rFonts w:hint="eastAsia" w:ascii="仿宋_GB2312" w:hAnsi="仿宋_GB2312" w:eastAsia="仿宋_GB2312" w:cs="仿宋_GB2312"/>
          <w:color w:val="auto"/>
          <w:sz w:val="24"/>
          <w:szCs w:val="24"/>
          <w:highlight w:val="none"/>
          <w:lang w:eastAsia="zh-CN"/>
        </w:rPr>
        <w:t>及补正</w:t>
      </w:r>
    </w:p>
    <w:p>
      <w:pPr>
        <w:spacing w:line="36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评审专家认为报价人提供的符合性审查资料在形式上存在瑕疵的，应在价格谈判前要求报价人对形式进行补正并补发补正资料，但不得要求报价人提供全新的符合性审查资料或影响其评审得分的资料。经补正仍不符合竞争性谈判公告要求的，应视为未提供该项资料。</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在必要时，为有助于</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文件的审查、评价和比较，评审小组可以对</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文件有疑问或不清楚的地方进行书面澄清，</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接到评审小组书面澄清问题后，以书面形式将澄清回复</w:t>
      </w:r>
      <w:r>
        <w:rPr>
          <w:rFonts w:hint="eastAsia" w:ascii="仿宋_GB2312" w:hAnsi="仿宋_GB2312" w:eastAsia="仿宋_GB2312" w:cs="仿宋_GB2312"/>
          <w:color w:val="auto"/>
          <w:sz w:val="24"/>
          <w:szCs w:val="24"/>
          <w:highlight w:val="none"/>
          <w:lang w:val="en-US" w:eastAsia="zh-CN"/>
        </w:rPr>
        <w:t>评审组</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澄清回复应有法定代表人或被授权代表人签字</w:t>
      </w:r>
      <w:r>
        <w:rPr>
          <w:rFonts w:hint="eastAsia" w:ascii="仿宋_GB2312" w:hAnsi="仿宋_GB2312" w:eastAsia="仿宋_GB2312" w:cs="仿宋_GB2312"/>
          <w:color w:val="auto"/>
          <w:sz w:val="24"/>
          <w:szCs w:val="24"/>
          <w:highlight w:val="none"/>
          <w:lang w:val="en-US" w:eastAsia="zh-CN"/>
        </w:rPr>
        <w:t>或公章</w:t>
      </w:r>
      <w:r>
        <w:rPr>
          <w:rFonts w:hint="eastAsia" w:ascii="仿宋_GB2312" w:hAnsi="仿宋_GB2312" w:eastAsia="仿宋_GB2312" w:cs="仿宋_GB2312"/>
          <w:color w:val="auto"/>
          <w:sz w:val="24"/>
          <w:szCs w:val="24"/>
          <w:highlight w:val="none"/>
        </w:rPr>
        <w:t>，澄清问题回复作为</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文件的组成部分。</w:t>
      </w:r>
    </w:p>
    <w:p>
      <w:pPr>
        <w:spacing w:line="360" w:lineRule="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 xml:space="preserve">2.3 </w:t>
      </w:r>
      <w:r>
        <w:rPr>
          <w:rFonts w:hint="eastAsia" w:ascii="仿宋_GB2312" w:hAnsi="仿宋_GB2312" w:eastAsia="仿宋_GB2312" w:cs="仿宋_GB2312"/>
          <w:b w:val="0"/>
          <w:bCs w:val="0"/>
          <w:color w:val="auto"/>
          <w:sz w:val="24"/>
          <w:szCs w:val="24"/>
          <w:highlight w:val="none"/>
          <w:lang w:eastAsia="zh-CN"/>
        </w:rPr>
        <w:t>价格谈判</w:t>
      </w:r>
    </w:p>
    <w:p>
      <w:pPr>
        <w:spacing w:line="360" w:lineRule="auto"/>
        <w:ind w:firstLine="480" w:firstLineChars="200"/>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评审小组完成资格审查后，认为需要对价格进行谈判的，评审小组应对每个合格报价人的价格进行谈判，价格谈判应遵守谈判纪律，由评审小组组长随机指定组内成员与谈判相对方进行谈判。 评审专家应当使用评审谈判专用座机与谈判相对方联系，谈判中不得发生透露项目预算价格、其他公司报价、暗示对方报价等影响价格公平、公正的情形。</w:t>
      </w:r>
    </w:p>
    <w:p>
      <w:pPr>
        <w:spacing w:line="360" w:lineRule="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2.4</w:t>
      </w:r>
      <w:r>
        <w:rPr>
          <w:rFonts w:hint="eastAsia" w:ascii="仿宋_GB2312" w:hAnsi="仿宋_GB2312" w:eastAsia="仿宋_GB2312" w:cs="仿宋_GB2312"/>
          <w:b w:val="0"/>
          <w:bCs w:val="0"/>
          <w:color w:val="auto"/>
          <w:sz w:val="24"/>
          <w:szCs w:val="24"/>
          <w:highlight w:val="none"/>
        </w:rPr>
        <w:t>综合评价与比较</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评审应依据评审原则、评审办法，对</w:t>
      </w:r>
      <w:r>
        <w:rPr>
          <w:rFonts w:hint="eastAsia" w:ascii="仿宋_GB2312" w:hAnsi="仿宋_GB2312" w:eastAsia="仿宋_GB2312" w:cs="仿宋_GB2312"/>
          <w:color w:val="auto"/>
          <w:sz w:val="24"/>
          <w:szCs w:val="24"/>
          <w:highlight w:val="none"/>
          <w:lang w:eastAsia="zh-CN"/>
        </w:rPr>
        <w:t>竞争性谈判申请</w:t>
      </w:r>
      <w:r>
        <w:rPr>
          <w:rFonts w:hint="eastAsia" w:ascii="仿宋_GB2312" w:hAnsi="仿宋_GB2312" w:eastAsia="仿宋_GB2312" w:cs="仿宋_GB2312"/>
          <w:color w:val="auto"/>
          <w:sz w:val="24"/>
          <w:szCs w:val="24"/>
          <w:highlight w:val="none"/>
        </w:rPr>
        <w:t>文件进行</w:t>
      </w:r>
      <w:r>
        <w:rPr>
          <w:rFonts w:hint="eastAsia" w:ascii="仿宋_GB2312" w:hAnsi="仿宋_GB2312" w:eastAsia="仿宋_GB2312" w:cs="仿宋_GB2312"/>
          <w:color w:val="auto"/>
          <w:sz w:val="24"/>
          <w:szCs w:val="24"/>
          <w:highlight w:val="none"/>
          <w:lang w:eastAsia="zh-CN"/>
        </w:rPr>
        <w:t>详细</w:t>
      </w:r>
      <w:r>
        <w:rPr>
          <w:rFonts w:hint="eastAsia" w:ascii="仿宋_GB2312" w:hAnsi="仿宋_GB2312" w:eastAsia="仿宋_GB2312" w:cs="仿宋_GB2312"/>
          <w:color w:val="auto"/>
          <w:sz w:val="24"/>
          <w:szCs w:val="24"/>
          <w:highlight w:val="none"/>
        </w:rPr>
        <w:t>评审，合理评定打分，统计排序。</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 xml:space="preserve"> 编制评审报告</w:t>
      </w:r>
    </w:p>
    <w:p>
      <w:pPr>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评审小组完成评审后，应编写评审报告。</w:t>
      </w:r>
    </w:p>
    <w:p>
      <w:pPr>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评审打分办法</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每个</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技术得</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为每位</w:t>
      </w:r>
      <w:r>
        <w:rPr>
          <w:rFonts w:hint="eastAsia" w:ascii="仿宋_GB2312" w:hAnsi="仿宋_GB2312" w:eastAsia="仿宋_GB2312" w:cs="仿宋_GB2312"/>
          <w:color w:val="auto"/>
          <w:sz w:val="24"/>
          <w:szCs w:val="24"/>
          <w:highlight w:val="none"/>
        </w:rPr>
        <w:t>评</w:t>
      </w:r>
      <w:r>
        <w:rPr>
          <w:rFonts w:hint="eastAsia" w:ascii="仿宋_GB2312" w:hAnsi="仿宋_GB2312" w:eastAsia="仿宋_GB2312" w:cs="仿宋_GB2312"/>
          <w:color w:val="auto"/>
          <w:sz w:val="24"/>
          <w:szCs w:val="24"/>
          <w:highlight w:val="none"/>
          <w:lang w:eastAsia="zh-CN"/>
        </w:rPr>
        <w:t>审专家</w:t>
      </w:r>
      <w:r>
        <w:rPr>
          <w:rFonts w:hint="eastAsia" w:ascii="仿宋_GB2312" w:hAnsi="仿宋_GB2312" w:eastAsia="仿宋_GB2312" w:cs="仿宋_GB2312"/>
          <w:color w:val="auto"/>
          <w:sz w:val="24"/>
          <w:szCs w:val="24"/>
          <w:highlight w:val="none"/>
        </w:rPr>
        <w:t>打分的算术平均值</w:t>
      </w:r>
      <w:r>
        <w:rPr>
          <w:rFonts w:hint="eastAsia" w:ascii="仿宋_GB2312" w:hAnsi="仿宋_GB2312" w:eastAsia="仿宋_GB2312" w:cs="仿宋_GB2312"/>
          <w:color w:val="auto"/>
          <w:sz w:val="24"/>
          <w:szCs w:val="24"/>
          <w:highlight w:val="none"/>
          <w:lang w:eastAsia="zh-CN"/>
        </w:rPr>
        <w:t>，报价得分计算规则详见</w:t>
      </w:r>
      <w:r>
        <w:rPr>
          <w:rFonts w:hint="eastAsia" w:ascii="仿宋_GB2312" w:hAnsi="仿宋_GB2312" w:eastAsia="仿宋_GB2312" w:cs="仿宋_GB2312"/>
          <w:color w:val="auto"/>
          <w:sz w:val="24"/>
          <w:szCs w:val="24"/>
          <w:highlight w:val="none"/>
          <w:lang w:val="en-US" w:eastAsia="zh-CN"/>
        </w:rPr>
        <w:t>3.2.2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评分过程中所有</w:t>
      </w:r>
      <w:r>
        <w:rPr>
          <w:rFonts w:hint="eastAsia" w:ascii="仿宋_GB2312" w:hAnsi="仿宋_GB2312" w:eastAsia="仿宋_GB2312" w:cs="仿宋_GB2312"/>
          <w:color w:val="auto"/>
          <w:sz w:val="24"/>
          <w:szCs w:val="24"/>
          <w:highlight w:val="none"/>
        </w:rPr>
        <w:t>计分</w:t>
      </w:r>
      <w:r>
        <w:rPr>
          <w:rFonts w:hint="eastAsia" w:ascii="仿宋_GB2312" w:hAnsi="仿宋_GB2312" w:eastAsia="仿宋_GB2312" w:cs="仿宋_GB2312"/>
          <w:color w:val="auto"/>
          <w:sz w:val="24"/>
          <w:szCs w:val="24"/>
          <w:highlight w:val="none"/>
          <w:lang w:eastAsia="zh-CN"/>
        </w:rPr>
        <w:t>结果均须四舍五入</w:t>
      </w:r>
      <w:r>
        <w:rPr>
          <w:rFonts w:hint="eastAsia" w:ascii="仿宋_GB2312" w:hAnsi="仿宋_GB2312" w:eastAsia="仿宋_GB2312" w:cs="仿宋_GB2312"/>
          <w:color w:val="auto"/>
          <w:sz w:val="24"/>
          <w:szCs w:val="24"/>
          <w:highlight w:val="none"/>
        </w:rPr>
        <w:t>保留至小数点后两位。</w:t>
      </w:r>
    </w:p>
    <w:p>
      <w:pPr>
        <w:spacing w:line="360"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3.1 技术评分细则（满分100分，</w:t>
      </w:r>
      <w:r>
        <w:rPr>
          <w:rFonts w:hint="eastAsia" w:ascii="仿宋_GB2312" w:hAnsi="仿宋_GB2312" w:eastAsia="仿宋_GB2312" w:cs="仿宋_GB2312"/>
          <w:color w:val="auto"/>
          <w:sz w:val="24"/>
          <w:szCs w:val="24"/>
          <w:highlight w:val="none"/>
          <w:lang w:eastAsia="zh-CN"/>
        </w:rPr>
        <w:t>权重</w:t>
      </w:r>
      <w:r>
        <w:rPr>
          <w:rFonts w:hint="eastAsia" w:ascii="仿宋_GB2312" w:hAnsi="仿宋_GB2312" w:eastAsia="仿宋_GB2312" w:cs="仿宋_GB2312"/>
          <w:color w:val="auto"/>
          <w:sz w:val="24"/>
          <w:szCs w:val="24"/>
          <w:highlight w:val="none"/>
          <w:lang w:val="en-US" w:eastAsia="zh-CN"/>
        </w:rPr>
        <w:t>0.4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见下附表1）</w:t>
      </w:r>
    </w:p>
    <w:p>
      <w:pPr>
        <w:spacing w:line="240" w:lineRule="auto"/>
        <w:jc w:val="both"/>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技术评分表</w:t>
      </w:r>
    </w:p>
    <w:p>
      <w:pPr>
        <w:spacing w:line="240" w:lineRule="auto"/>
        <w:jc w:val="center"/>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评分标准</w:t>
      </w:r>
    </w:p>
    <w:p>
      <w:pPr>
        <w:jc w:val="center"/>
        <w:rPr>
          <w:rFonts w:hint="eastAsia" w:ascii="仿宋_GB2312" w:hAnsi="仿宋_GB2312" w:eastAsia="仿宋_GB2312" w:cs="仿宋_GB2312"/>
          <w:color w:val="auto"/>
          <w:sz w:val="24"/>
          <w:szCs w:val="24"/>
          <w:highlight w:val="none"/>
        </w:rPr>
      </w:pPr>
    </w:p>
    <w:tbl>
      <w:tblPr>
        <w:tblStyle w:val="6"/>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50"/>
        <w:gridCol w:w="860"/>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23" w:type="pct"/>
            <w:noWrap w:val="0"/>
            <w:vAlign w:val="center"/>
          </w:tcPr>
          <w:p>
            <w:pPr>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序号</w:t>
            </w:r>
          </w:p>
        </w:tc>
        <w:tc>
          <w:tcPr>
            <w:tcW w:w="790" w:type="pct"/>
            <w:noWrap w:val="0"/>
            <w:vAlign w:val="center"/>
          </w:tcPr>
          <w:p>
            <w:pPr>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评分项目</w:t>
            </w:r>
          </w:p>
        </w:tc>
        <w:tc>
          <w:tcPr>
            <w:tcW w:w="503" w:type="pct"/>
            <w:noWrap w:val="0"/>
            <w:vAlign w:val="center"/>
          </w:tcPr>
          <w:p>
            <w:pPr>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标准分</w:t>
            </w:r>
          </w:p>
        </w:tc>
        <w:tc>
          <w:tcPr>
            <w:tcW w:w="3281" w:type="pct"/>
            <w:noWrap w:val="0"/>
            <w:vAlign w:val="center"/>
          </w:tcPr>
          <w:p>
            <w:pPr>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23" w:type="dxa"/>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1"/>
                <w:szCs w:val="21"/>
                <w:highlight w:val="none"/>
                <w:vertAlign w:val="baseline"/>
                <w:lang w:eastAsia="zh-CN"/>
              </w:rPr>
              <w:t>1</w:t>
            </w:r>
          </w:p>
        </w:tc>
        <w:tc>
          <w:tcPr>
            <w:tcW w:w="1350" w:type="dxa"/>
            <w:noWrap w:val="0"/>
            <w:vAlign w:val="center"/>
          </w:tcPr>
          <w:p>
            <w:pPr>
              <w:jc w:val="both"/>
              <w:rPr>
                <w:rFonts w:hint="eastAsia" w:ascii="仿宋_GB2312" w:hAnsi="仿宋_GB2312" w:eastAsia="仿宋_GB2312" w:cs="仿宋_GB2312"/>
                <w:color w:val="auto"/>
                <w:sz w:val="21"/>
                <w:szCs w:val="21"/>
                <w:highlight w:val="none"/>
                <w:vertAlign w:val="baseline"/>
                <w:lang w:eastAsia="zh-CN"/>
              </w:rPr>
            </w:pPr>
          </w:p>
          <w:p>
            <w:pPr>
              <w:jc w:val="both"/>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检修业绩</w:t>
            </w:r>
          </w:p>
          <w:p>
            <w:pPr>
              <w:jc w:val="both"/>
              <w:rPr>
                <w:rFonts w:hint="eastAsia" w:ascii="仿宋_GB2312" w:hAnsi="仿宋_GB2312" w:eastAsia="仿宋_GB2312" w:cs="仿宋_GB2312"/>
                <w:bCs/>
                <w:kern w:val="2"/>
                <w:sz w:val="24"/>
                <w:szCs w:val="24"/>
                <w:lang w:val="en-US" w:eastAsia="zh-CN" w:bidi="ar-SA"/>
              </w:rPr>
            </w:pPr>
          </w:p>
        </w:tc>
        <w:tc>
          <w:tcPr>
            <w:tcW w:w="860" w:type="dxa"/>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20</w:t>
            </w:r>
          </w:p>
        </w:tc>
        <w:tc>
          <w:tcPr>
            <w:tcW w:w="5603" w:type="dxa"/>
            <w:noWrap w:val="0"/>
            <w:vAlign w:val="center"/>
          </w:tcPr>
          <w:p>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未提供</w:t>
            </w:r>
            <w:r>
              <w:rPr>
                <w:rFonts w:hint="eastAsia" w:ascii="仿宋_GB2312" w:hAnsi="仿宋_GB2312" w:eastAsia="仿宋_GB2312" w:cs="仿宋_GB2312"/>
                <w:color w:val="auto"/>
                <w:szCs w:val="21"/>
                <w:highlight w:val="none"/>
              </w:rPr>
              <w:t>300MW及以上</w:t>
            </w:r>
            <w:r>
              <w:rPr>
                <w:rFonts w:hint="eastAsia" w:ascii="仿宋_GB2312" w:hAnsi="仿宋_GB2312" w:eastAsia="仿宋_GB2312" w:cs="仿宋_GB2312"/>
                <w:color w:val="auto"/>
                <w:szCs w:val="21"/>
                <w:highlight w:val="none"/>
                <w:lang w:eastAsia="zh-CN"/>
              </w:rPr>
              <w:t>容量</w:t>
            </w:r>
            <w:r>
              <w:rPr>
                <w:rFonts w:hint="eastAsia" w:ascii="仿宋_GB2312" w:hAnsi="仿宋_GB2312" w:eastAsia="仿宋_GB2312" w:cs="仿宋_GB2312"/>
                <w:color w:val="auto"/>
                <w:szCs w:val="21"/>
                <w:highlight w:val="none"/>
              </w:rPr>
              <w:t>火电机组检修</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汽机</w:t>
            </w:r>
            <w:r>
              <w:rPr>
                <w:rFonts w:hint="eastAsia" w:ascii="仿宋_GB2312" w:hAnsi="仿宋_GB2312" w:eastAsia="仿宋_GB2312" w:cs="仿宋_GB2312"/>
                <w:color w:val="auto"/>
                <w:szCs w:val="21"/>
                <w:highlight w:val="none"/>
                <w:lang w:eastAsia="zh-CN"/>
              </w:rPr>
              <w:t>或</w:t>
            </w:r>
            <w:r>
              <w:rPr>
                <w:rFonts w:hint="eastAsia" w:ascii="仿宋_GB2312" w:hAnsi="仿宋_GB2312" w:eastAsia="仿宋_GB2312" w:cs="仿宋_GB2312"/>
                <w:color w:val="auto"/>
                <w:szCs w:val="21"/>
                <w:highlight w:val="none"/>
              </w:rPr>
              <w:t>辅机</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业绩不得分；</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color w:val="auto"/>
                <w:szCs w:val="21"/>
                <w:highlight w:val="none"/>
              </w:rPr>
              <w:t>每提供一台300MW及以上汽机</w:t>
            </w:r>
            <w:r>
              <w:rPr>
                <w:rFonts w:hint="eastAsia" w:ascii="仿宋_GB2312" w:hAnsi="仿宋_GB2312" w:eastAsia="仿宋_GB2312" w:cs="仿宋_GB2312"/>
                <w:color w:val="auto"/>
                <w:szCs w:val="21"/>
                <w:highlight w:val="none"/>
                <w:lang w:eastAsia="zh-CN"/>
              </w:rPr>
              <w:t>或</w:t>
            </w:r>
            <w:r>
              <w:rPr>
                <w:rFonts w:hint="eastAsia" w:ascii="仿宋_GB2312" w:hAnsi="仿宋_GB2312" w:eastAsia="仿宋_GB2312" w:cs="仿宋_GB2312"/>
                <w:color w:val="auto"/>
                <w:szCs w:val="21"/>
                <w:highlight w:val="none"/>
              </w:rPr>
              <w:t>辅机检修业绩</w:t>
            </w:r>
            <w:r>
              <w:rPr>
                <w:rFonts w:hint="eastAsia" w:ascii="仿宋_GB2312" w:hAnsi="仿宋_GB2312" w:eastAsia="仿宋_GB2312" w:cs="仿宋_GB2312"/>
                <w:color w:val="auto"/>
                <w:szCs w:val="21"/>
                <w:highlight w:val="none"/>
                <w:lang w:eastAsia="zh-CN"/>
              </w:rPr>
              <w:t>得</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分，本项最高得分2</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23" w:type="dxa"/>
            <w:noWrap w:val="0"/>
            <w:vAlign w:val="center"/>
          </w:tcPr>
          <w:p>
            <w:pPr>
              <w:jc w:val="center"/>
              <w:rPr>
                <w:rFonts w:hint="default"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1"/>
                <w:szCs w:val="21"/>
                <w:highlight w:val="none"/>
                <w:vertAlign w:val="baseline"/>
                <w:lang w:eastAsia="zh-CN"/>
              </w:rPr>
              <w:t>2</w:t>
            </w:r>
          </w:p>
        </w:tc>
        <w:tc>
          <w:tcPr>
            <w:tcW w:w="1350" w:type="dxa"/>
            <w:noWrap w:val="0"/>
            <w:vAlign w:val="center"/>
          </w:tcPr>
          <w:p>
            <w:pPr>
              <w:jc w:val="both"/>
              <w:rPr>
                <w:rFonts w:hint="eastAsia" w:ascii="仿宋_GB2312" w:hAnsi="仿宋_GB2312" w:eastAsia="仿宋_GB2312" w:cs="仿宋_GB2312"/>
                <w:color w:val="auto"/>
                <w:sz w:val="21"/>
                <w:szCs w:val="21"/>
                <w:highlight w:val="none"/>
                <w:vertAlign w:val="baseline"/>
                <w:lang w:eastAsia="zh-CN"/>
              </w:rPr>
            </w:pPr>
          </w:p>
          <w:p>
            <w:pPr>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color w:val="auto"/>
                <w:szCs w:val="21"/>
                <w:highlight w:val="none"/>
              </w:rPr>
              <w:t>施工方案</w:t>
            </w:r>
          </w:p>
        </w:tc>
        <w:tc>
          <w:tcPr>
            <w:tcW w:w="860" w:type="dxa"/>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30</w:t>
            </w:r>
          </w:p>
        </w:tc>
        <w:tc>
          <w:tcPr>
            <w:tcW w:w="5603" w:type="dxa"/>
            <w:noWrap w:val="0"/>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Cs w:val="21"/>
                <w:highlight w:val="none"/>
              </w:rPr>
              <w:t>比选申请</w:t>
            </w:r>
            <w:r>
              <w:rPr>
                <w:rFonts w:hint="eastAsia" w:ascii="仿宋_GB2312" w:hAnsi="仿宋_GB2312" w:eastAsia="仿宋_GB2312" w:cs="仿宋_GB2312"/>
                <w:color w:val="auto"/>
                <w:szCs w:val="21"/>
                <w:highlight w:val="none"/>
                <w:lang w:eastAsia="zh-CN"/>
              </w:rPr>
              <w:t>文件</w:t>
            </w:r>
            <w:r>
              <w:rPr>
                <w:rFonts w:hint="eastAsia" w:ascii="仿宋_GB2312" w:hAnsi="仿宋_GB2312" w:eastAsia="仿宋_GB2312" w:cs="仿宋_GB2312"/>
                <w:color w:val="auto"/>
                <w:szCs w:val="21"/>
                <w:highlight w:val="none"/>
              </w:rPr>
              <w:t>检修计划和措施（含工期、人员、设备、工器具配制计划和措施等）最为合理的得分30分；其余按编制情况</w:t>
            </w:r>
            <w:r>
              <w:rPr>
                <w:rFonts w:hint="eastAsia" w:ascii="仿宋_GB2312" w:hAnsi="仿宋_GB2312" w:eastAsia="仿宋_GB2312" w:cs="仿宋_GB2312"/>
                <w:color w:val="auto"/>
                <w:szCs w:val="21"/>
                <w:highlight w:val="none"/>
                <w:lang w:eastAsia="zh-CN"/>
              </w:rPr>
              <w:t>横向比较酌情扣分</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对于</w:t>
            </w:r>
            <w:r>
              <w:rPr>
                <w:rFonts w:hint="eastAsia" w:ascii="仿宋_GB2312" w:hAnsi="仿宋_GB2312" w:eastAsia="仿宋_GB2312" w:cs="仿宋_GB2312"/>
                <w:color w:val="auto"/>
                <w:szCs w:val="21"/>
                <w:highlight w:val="none"/>
              </w:rPr>
              <w:t>不满足</w:t>
            </w:r>
            <w:r>
              <w:rPr>
                <w:rFonts w:hint="eastAsia" w:ascii="仿宋_GB2312" w:hAnsi="仿宋_GB2312" w:eastAsia="仿宋_GB2312" w:cs="仿宋_GB2312"/>
                <w:color w:val="auto"/>
                <w:szCs w:val="21"/>
                <w:highlight w:val="none"/>
                <w:lang w:eastAsia="zh-CN"/>
              </w:rPr>
              <w:t>技术规范书</w:t>
            </w:r>
            <w:r>
              <w:rPr>
                <w:rFonts w:hint="eastAsia" w:ascii="仿宋_GB2312" w:hAnsi="仿宋_GB2312" w:eastAsia="仿宋_GB2312" w:cs="仿宋_GB2312"/>
                <w:color w:val="auto"/>
                <w:szCs w:val="21"/>
                <w:highlight w:val="none"/>
              </w:rPr>
              <w:t>要求、计划和措施不完整适当扣分或不得分</w:t>
            </w:r>
            <w:r>
              <w:rPr>
                <w:rFonts w:hint="eastAsia" w:ascii="仿宋_GB2312" w:hAnsi="仿宋_GB2312" w:eastAsia="仿宋_GB2312" w:cs="仿宋_GB2312"/>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3" w:type="dxa"/>
            <w:noWrap w:val="0"/>
            <w:vAlign w:val="center"/>
          </w:tcPr>
          <w:p>
            <w:pPr>
              <w:jc w:val="center"/>
              <w:rPr>
                <w:rFonts w:hint="default"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1"/>
                <w:szCs w:val="21"/>
                <w:highlight w:val="none"/>
                <w:vertAlign w:val="baseline"/>
                <w:lang w:eastAsia="zh-CN"/>
              </w:rPr>
              <w:t>3</w:t>
            </w:r>
          </w:p>
        </w:tc>
        <w:tc>
          <w:tcPr>
            <w:tcW w:w="1350" w:type="dxa"/>
            <w:noWrap w:val="0"/>
            <w:vAlign w:val="center"/>
          </w:tcPr>
          <w:p>
            <w:pPr>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color w:val="auto"/>
                <w:szCs w:val="21"/>
                <w:highlight w:val="none"/>
              </w:rPr>
              <w:t>安全保证体系</w:t>
            </w:r>
          </w:p>
        </w:tc>
        <w:tc>
          <w:tcPr>
            <w:tcW w:w="860" w:type="dxa"/>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10</w:t>
            </w:r>
          </w:p>
        </w:tc>
        <w:tc>
          <w:tcPr>
            <w:tcW w:w="5603" w:type="dxa"/>
            <w:noWrap w:val="0"/>
            <w:vAlign w:val="center"/>
          </w:tcPr>
          <w:p>
            <w:pPr>
              <w:jc w:val="left"/>
              <w:rPr>
                <w:rFonts w:hint="eastAsia" w:ascii="仿宋_GB2312" w:hAnsi="仿宋_GB2312" w:eastAsia="仿宋_GB2312" w:cs="仿宋_GB2312"/>
                <w:bCs/>
                <w:kern w:val="2"/>
                <w:sz w:val="24"/>
                <w:szCs w:val="24"/>
                <w:lang w:val="en-US" w:eastAsia="zh-CN" w:bidi="ar"/>
              </w:rPr>
            </w:pPr>
            <w:r>
              <w:rPr>
                <w:rFonts w:hint="eastAsia" w:ascii="仿宋_GB2312" w:hAnsi="仿宋_GB2312" w:eastAsia="仿宋_GB2312" w:cs="仿宋_GB2312"/>
                <w:color w:val="auto"/>
                <w:szCs w:val="21"/>
                <w:highlight w:val="none"/>
              </w:rPr>
              <w:t>安全保证体系网构成</w:t>
            </w:r>
            <w:r>
              <w:rPr>
                <w:rFonts w:hint="eastAsia" w:ascii="仿宋_GB2312" w:hAnsi="仿宋_GB2312" w:eastAsia="仿宋_GB2312" w:cs="仿宋_GB2312"/>
                <w:color w:val="auto"/>
                <w:szCs w:val="21"/>
                <w:highlight w:val="none"/>
                <w:lang w:eastAsia="zh-CN"/>
              </w:rPr>
              <w:t>最</w:t>
            </w:r>
            <w:r>
              <w:rPr>
                <w:rFonts w:hint="eastAsia" w:ascii="仿宋_GB2312" w:hAnsi="仿宋_GB2312" w:eastAsia="仿宋_GB2312" w:cs="仿宋_GB2312"/>
                <w:color w:val="auto"/>
                <w:szCs w:val="21"/>
                <w:highlight w:val="none"/>
              </w:rPr>
              <w:t>完善，安全施工措施</w:t>
            </w:r>
            <w:r>
              <w:rPr>
                <w:rFonts w:hint="eastAsia" w:ascii="仿宋_GB2312" w:hAnsi="仿宋_GB2312" w:eastAsia="仿宋_GB2312" w:cs="仿宋_GB2312"/>
                <w:color w:val="auto"/>
                <w:szCs w:val="21"/>
                <w:highlight w:val="none"/>
                <w:lang w:eastAsia="zh-CN"/>
              </w:rPr>
              <w:t>最</w:t>
            </w:r>
            <w:r>
              <w:rPr>
                <w:rFonts w:hint="eastAsia" w:ascii="仿宋_GB2312" w:hAnsi="仿宋_GB2312" w:eastAsia="仿宋_GB2312" w:cs="仿宋_GB2312"/>
                <w:color w:val="auto"/>
                <w:szCs w:val="21"/>
                <w:highlight w:val="none"/>
              </w:rPr>
              <w:t>合理科学，安全活动内容</w:t>
            </w:r>
            <w:r>
              <w:rPr>
                <w:rFonts w:hint="eastAsia" w:ascii="仿宋_GB2312" w:hAnsi="仿宋_GB2312" w:eastAsia="仿宋_GB2312" w:cs="仿宋_GB2312"/>
                <w:color w:val="auto"/>
                <w:szCs w:val="21"/>
                <w:highlight w:val="none"/>
                <w:lang w:eastAsia="zh-CN"/>
              </w:rPr>
              <w:t>最</w:t>
            </w:r>
            <w:r>
              <w:rPr>
                <w:rFonts w:hint="eastAsia" w:ascii="仿宋_GB2312" w:hAnsi="仿宋_GB2312" w:eastAsia="仿宋_GB2312" w:cs="仿宋_GB2312"/>
                <w:color w:val="auto"/>
                <w:szCs w:val="21"/>
                <w:highlight w:val="none"/>
              </w:rPr>
              <w:t>完整且具有可操作性</w:t>
            </w:r>
            <w:r>
              <w:rPr>
                <w:rFonts w:hint="eastAsia" w:ascii="仿宋_GB2312" w:hAnsi="仿宋_GB2312" w:eastAsia="仿宋_GB2312" w:cs="仿宋_GB2312"/>
                <w:color w:val="auto"/>
                <w:szCs w:val="21"/>
                <w:highlight w:val="none"/>
                <w:lang w:eastAsia="zh-CN"/>
              </w:rPr>
              <w:t>，最具有</w:t>
            </w:r>
            <w:r>
              <w:rPr>
                <w:rFonts w:hint="eastAsia" w:ascii="仿宋_GB2312" w:hAnsi="仿宋_GB2312" w:eastAsia="仿宋_GB2312" w:cs="仿宋_GB2312"/>
                <w:color w:val="auto"/>
                <w:szCs w:val="21"/>
                <w:highlight w:val="none"/>
              </w:rPr>
              <w:t>可监控性</w:t>
            </w:r>
            <w:r>
              <w:rPr>
                <w:rFonts w:hint="eastAsia" w:ascii="仿宋_GB2312" w:hAnsi="仿宋_GB2312" w:eastAsia="仿宋_GB2312" w:cs="仿宋_GB2312"/>
                <w:color w:val="auto"/>
                <w:szCs w:val="21"/>
                <w:highlight w:val="none"/>
                <w:lang w:eastAsia="zh-CN"/>
              </w:rPr>
              <w:t>和</w:t>
            </w:r>
            <w:r>
              <w:rPr>
                <w:rFonts w:hint="eastAsia" w:ascii="仿宋_GB2312" w:hAnsi="仿宋_GB2312" w:eastAsia="仿宋_GB2312" w:cs="仿宋_GB2312"/>
                <w:color w:val="auto"/>
                <w:szCs w:val="21"/>
                <w:highlight w:val="none"/>
              </w:rPr>
              <w:t>可追溯性</w:t>
            </w:r>
            <w:r>
              <w:rPr>
                <w:rFonts w:hint="eastAsia" w:ascii="仿宋_GB2312" w:hAnsi="仿宋_GB2312" w:eastAsia="仿宋_GB2312" w:cs="仿宋_GB2312"/>
                <w:color w:val="auto"/>
                <w:szCs w:val="21"/>
                <w:highlight w:val="none"/>
                <w:lang w:eastAsia="zh-CN"/>
              </w:rPr>
              <w:t>的，得</w:t>
            </w:r>
            <w:r>
              <w:rPr>
                <w:rFonts w:hint="eastAsia" w:ascii="仿宋_GB2312" w:hAnsi="仿宋_GB2312" w:eastAsia="仿宋_GB2312" w:cs="仿宋_GB2312"/>
                <w:color w:val="auto"/>
                <w:szCs w:val="21"/>
                <w:highlight w:val="none"/>
              </w:rPr>
              <w:t>满分10分，</w:t>
            </w:r>
            <w:r>
              <w:rPr>
                <w:rFonts w:hint="eastAsia" w:ascii="仿宋_GB2312" w:hAnsi="仿宋_GB2312" w:eastAsia="仿宋_GB2312" w:cs="仿宋_GB2312"/>
                <w:color w:val="auto"/>
                <w:szCs w:val="21"/>
                <w:highlight w:val="none"/>
                <w:lang w:eastAsia="zh-CN"/>
              </w:rPr>
              <w:t>其他</w:t>
            </w:r>
            <w:r>
              <w:rPr>
                <w:rFonts w:hint="eastAsia" w:ascii="仿宋_GB2312" w:hAnsi="仿宋_GB2312" w:eastAsia="仿宋_GB2312" w:cs="仿宋_GB2312"/>
                <w:color w:val="auto"/>
                <w:szCs w:val="21"/>
                <w:highlight w:val="none"/>
              </w:rPr>
              <w:t>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3" w:type="dxa"/>
            <w:noWrap w:val="0"/>
            <w:vAlign w:val="center"/>
          </w:tcPr>
          <w:p>
            <w:pPr>
              <w:jc w:val="center"/>
              <w:rPr>
                <w:rFonts w:hint="default"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4</w:t>
            </w:r>
          </w:p>
        </w:tc>
        <w:tc>
          <w:tcPr>
            <w:tcW w:w="1350" w:type="dxa"/>
            <w:noWrap w:val="0"/>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color w:val="auto"/>
                <w:szCs w:val="21"/>
                <w:highlight w:val="none"/>
              </w:rPr>
              <w:t>质量保证体系</w:t>
            </w:r>
          </w:p>
        </w:tc>
        <w:tc>
          <w:tcPr>
            <w:tcW w:w="860" w:type="dxa"/>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10</w:t>
            </w:r>
          </w:p>
        </w:tc>
        <w:tc>
          <w:tcPr>
            <w:tcW w:w="5603" w:type="dxa"/>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zCs w:val="21"/>
                <w:highlight w:val="none"/>
              </w:rPr>
              <w:t>质量保证体系网构成</w:t>
            </w:r>
            <w:r>
              <w:rPr>
                <w:rFonts w:hint="eastAsia" w:ascii="仿宋_GB2312" w:hAnsi="仿宋_GB2312" w:eastAsia="仿宋_GB2312" w:cs="仿宋_GB2312"/>
                <w:color w:val="auto"/>
                <w:szCs w:val="21"/>
                <w:highlight w:val="none"/>
                <w:lang w:eastAsia="zh-CN"/>
              </w:rPr>
              <w:t>最</w:t>
            </w:r>
            <w:r>
              <w:rPr>
                <w:rFonts w:hint="eastAsia" w:ascii="仿宋_GB2312" w:hAnsi="仿宋_GB2312" w:eastAsia="仿宋_GB2312" w:cs="仿宋_GB2312"/>
                <w:color w:val="auto"/>
                <w:szCs w:val="21"/>
                <w:highlight w:val="none"/>
              </w:rPr>
              <w:t>完善，质量活动内容</w:t>
            </w:r>
            <w:r>
              <w:rPr>
                <w:rFonts w:hint="eastAsia" w:ascii="仿宋_GB2312" w:hAnsi="仿宋_GB2312" w:eastAsia="仿宋_GB2312" w:cs="仿宋_GB2312"/>
                <w:color w:val="auto"/>
                <w:szCs w:val="21"/>
                <w:highlight w:val="none"/>
                <w:lang w:eastAsia="zh-CN"/>
              </w:rPr>
              <w:t>最</w:t>
            </w:r>
            <w:r>
              <w:rPr>
                <w:rFonts w:hint="eastAsia" w:ascii="仿宋_GB2312" w:hAnsi="仿宋_GB2312" w:eastAsia="仿宋_GB2312" w:cs="仿宋_GB2312"/>
                <w:color w:val="auto"/>
                <w:szCs w:val="21"/>
                <w:highlight w:val="none"/>
              </w:rPr>
              <w:t>完整且具有可操作性</w:t>
            </w:r>
            <w:r>
              <w:rPr>
                <w:rFonts w:hint="eastAsia" w:ascii="仿宋_GB2312" w:hAnsi="仿宋_GB2312" w:eastAsia="仿宋_GB2312" w:cs="仿宋_GB2312"/>
                <w:color w:val="auto"/>
                <w:szCs w:val="21"/>
                <w:highlight w:val="none"/>
                <w:lang w:eastAsia="zh-CN"/>
              </w:rPr>
              <w:t>，最具有</w:t>
            </w:r>
            <w:r>
              <w:rPr>
                <w:rFonts w:hint="eastAsia" w:ascii="仿宋_GB2312" w:hAnsi="仿宋_GB2312" w:eastAsia="仿宋_GB2312" w:cs="仿宋_GB2312"/>
                <w:color w:val="auto"/>
                <w:szCs w:val="21"/>
                <w:highlight w:val="none"/>
              </w:rPr>
              <w:t>可监控性</w:t>
            </w:r>
            <w:r>
              <w:rPr>
                <w:rFonts w:hint="eastAsia" w:ascii="仿宋_GB2312" w:hAnsi="仿宋_GB2312" w:eastAsia="仿宋_GB2312" w:cs="仿宋_GB2312"/>
                <w:color w:val="auto"/>
                <w:szCs w:val="21"/>
                <w:highlight w:val="none"/>
                <w:lang w:eastAsia="zh-CN"/>
              </w:rPr>
              <w:t>和</w:t>
            </w:r>
            <w:r>
              <w:rPr>
                <w:rFonts w:hint="eastAsia" w:ascii="仿宋_GB2312" w:hAnsi="仿宋_GB2312" w:eastAsia="仿宋_GB2312" w:cs="仿宋_GB2312"/>
                <w:color w:val="auto"/>
                <w:szCs w:val="21"/>
                <w:highlight w:val="none"/>
              </w:rPr>
              <w:t>可追溯性</w:t>
            </w:r>
            <w:r>
              <w:rPr>
                <w:rFonts w:hint="eastAsia" w:ascii="仿宋_GB2312" w:hAnsi="仿宋_GB2312" w:eastAsia="仿宋_GB2312" w:cs="仿宋_GB2312"/>
                <w:color w:val="auto"/>
                <w:szCs w:val="21"/>
                <w:highlight w:val="none"/>
                <w:lang w:eastAsia="zh-CN"/>
              </w:rPr>
              <w:t>的，得</w:t>
            </w:r>
            <w:r>
              <w:rPr>
                <w:rFonts w:hint="eastAsia" w:ascii="仿宋_GB2312" w:hAnsi="仿宋_GB2312" w:eastAsia="仿宋_GB2312" w:cs="仿宋_GB2312"/>
                <w:color w:val="auto"/>
                <w:szCs w:val="21"/>
                <w:highlight w:val="none"/>
              </w:rPr>
              <w:t>满分1</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分，</w:t>
            </w:r>
            <w:r>
              <w:rPr>
                <w:rFonts w:hint="eastAsia" w:ascii="仿宋_GB2312" w:hAnsi="仿宋_GB2312" w:eastAsia="仿宋_GB2312" w:cs="仿宋_GB2312"/>
                <w:color w:val="auto"/>
                <w:szCs w:val="21"/>
                <w:highlight w:val="none"/>
                <w:lang w:eastAsia="zh-CN"/>
              </w:rPr>
              <w:t>其他</w:t>
            </w:r>
            <w:r>
              <w:rPr>
                <w:rFonts w:hint="eastAsia" w:ascii="仿宋_GB2312" w:hAnsi="仿宋_GB2312" w:eastAsia="仿宋_GB2312" w:cs="仿宋_GB2312"/>
                <w:color w:val="auto"/>
                <w:szCs w:val="21"/>
                <w:highlight w:val="none"/>
              </w:rPr>
              <w:t>横向比较评分</w:t>
            </w:r>
            <w:r>
              <w:rPr>
                <w:rFonts w:hint="eastAsia" w:ascii="仿宋_GB2312" w:hAnsi="仿宋_GB2312" w:eastAsia="仿宋_GB2312" w:cs="仿宋_GB2312"/>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23" w:type="dxa"/>
            <w:noWrap w:val="0"/>
            <w:vAlign w:val="center"/>
          </w:tcPr>
          <w:p>
            <w:pPr>
              <w:jc w:val="center"/>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5</w:t>
            </w:r>
          </w:p>
        </w:tc>
        <w:tc>
          <w:tcPr>
            <w:tcW w:w="1350" w:type="dxa"/>
            <w:noWrap w:val="0"/>
            <w:vAlign w:val="center"/>
          </w:tcPr>
          <w:p>
            <w:pPr>
              <w:ind w:firstLine="0" w:firstLineChars="0"/>
              <w:jc w:val="both"/>
              <w:rPr>
                <w:rFonts w:hint="eastAsia" w:ascii="仿宋_GB2312" w:hAnsi="仿宋_GB2312" w:eastAsia="仿宋_GB2312" w:cs="仿宋_GB2312"/>
                <w:bCs w:val="0"/>
                <w:sz w:val="24"/>
                <w:szCs w:val="24"/>
              </w:rPr>
            </w:pPr>
            <w:r>
              <w:rPr>
                <w:rFonts w:hint="eastAsia" w:ascii="仿宋_GB2312" w:hAnsi="仿宋_GB2312" w:eastAsia="仿宋_GB2312" w:cs="仿宋_GB2312"/>
                <w:color w:val="auto"/>
                <w:szCs w:val="21"/>
                <w:highlight w:val="none"/>
              </w:rPr>
              <w:t>组织机构及人员配置</w:t>
            </w:r>
          </w:p>
        </w:tc>
        <w:tc>
          <w:tcPr>
            <w:tcW w:w="860" w:type="dxa"/>
            <w:noWrap w:val="0"/>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20</w:t>
            </w:r>
          </w:p>
        </w:tc>
        <w:tc>
          <w:tcPr>
            <w:tcW w:w="5603" w:type="dxa"/>
            <w:noWrap w:val="0"/>
            <w:vAlign w:val="center"/>
          </w:tcPr>
          <w:p>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①项目经理、副经理 、技术总负责人、安全（职业健康、环保）员、项目班子人员配备</w:t>
            </w:r>
            <w:r>
              <w:rPr>
                <w:rFonts w:hint="eastAsia" w:ascii="仿宋_GB2312" w:hAnsi="仿宋_GB2312" w:eastAsia="仿宋_GB2312" w:cs="仿宋_GB2312"/>
                <w:color w:val="auto"/>
                <w:szCs w:val="21"/>
                <w:highlight w:val="none"/>
                <w:lang w:eastAsia="zh-CN"/>
              </w:rPr>
              <w:t>优于技术规范书要求</w:t>
            </w:r>
            <w:r>
              <w:rPr>
                <w:rFonts w:hint="eastAsia" w:ascii="仿宋_GB2312" w:hAnsi="仿宋_GB2312" w:eastAsia="仿宋_GB2312" w:cs="仿宋_GB2312"/>
                <w:color w:val="auto"/>
                <w:szCs w:val="21"/>
                <w:highlight w:val="none"/>
              </w:rPr>
              <w:t>（15-20分）；</w:t>
            </w:r>
          </w:p>
          <w:p>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②项目经理、</w:t>
            </w:r>
            <w:bookmarkStart w:id="0" w:name="_GoBack"/>
            <w:bookmarkEnd w:id="0"/>
            <w:r>
              <w:rPr>
                <w:rFonts w:hint="eastAsia" w:ascii="仿宋_GB2312" w:hAnsi="仿宋_GB2312" w:eastAsia="仿宋_GB2312" w:cs="仿宋_GB2312"/>
                <w:color w:val="auto"/>
                <w:szCs w:val="21"/>
                <w:highlight w:val="none"/>
              </w:rPr>
              <w:t>副经理 、技术总负责人、安全（职业健康、环保）员、项目班子人员配备</w:t>
            </w:r>
            <w:r>
              <w:rPr>
                <w:rFonts w:hint="eastAsia" w:ascii="仿宋_GB2312" w:hAnsi="仿宋_GB2312" w:eastAsia="仿宋_GB2312" w:cs="仿宋_GB2312"/>
                <w:color w:val="auto"/>
                <w:szCs w:val="21"/>
                <w:highlight w:val="none"/>
                <w:lang w:eastAsia="zh-CN"/>
              </w:rPr>
              <w:t>满足技术规范书要求</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分）；</w:t>
            </w:r>
          </w:p>
          <w:p>
            <w:pP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③项目经理、副经理 、技术总负责人、安全（职业健康、环保）员、项目班子人员配备</w:t>
            </w:r>
            <w:r>
              <w:rPr>
                <w:rFonts w:hint="eastAsia" w:ascii="仿宋_GB2312" w:hAnsi="仿宋_GB2312" w:eastAsia="仿宋_GB2312" w:cs="仿宋_GB2312"/>
                <w:color w:val="auto"/>
                <w:szCs w:val="21"/>
                <w:highlight w:val="none"/>
                <w:lang w:eastAsia="zh-CN"/>
              </w:rPr>
              <w:t>基本满足</w:t>
            </w:r>
            <w:r>
              <w:rPr>
                <w:rFonts w:hint="eastAsia" w:ascii="仿宋_GB2312" w:hAnsi="仿宋_GB2312" w:eastAsia="仿宋_GB2312" w:cs="仿宋_GB2312"/>
                <w:color w:val="auto"/>
                <w:szCs w:val="21"/>
                <w:highlight w:val="none"/>
              </w:rPr>
              <w:t>技术规范书要求（</w:t>
            </w:r>
            <w:r>
              <w:rPr>
                <w:rFonts w:hint="eastAsia" w:ascii="仿宋_GB2312" w:hAnsi="仿宋_GB2312" w:eastAsia="仿宋_GB2312" w:cs="仿宋_GB2312"/>
                <w:color w:val="auto"/>
                <w:szCs w:val="21"/>
                <w:highlight w:val="none"/>
                <w:lang w:val="en-US" w:eastAsia="zh-CN"/>
              </w:rPr>
              <w:t>1-7</w:t>
            </w:r>
            <w:r>
              <w:rPr>
                <w:rFonts w:hint="eastAsia" w:ascii="仿宋_GB2312" w:hAnsi="仿宋_GB2312" w:eastAsia="仿宋_GB2312" w:cs="仿宋_GB2312"/>
                <w:color w:val="auto"/>
                <w:szCs w:val="21"/>
                <w:highlight w:val="none"/>
              </w:rPr>
              <w:t>分）；</w:t>
            </w:r>
          </w:p>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Cs w:val="21"/>
                <w:highlight w:val="none"/>
              </w:rPr>
              <w:t>④不满足技术规范书最低人员要求,不得分。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23" w:type="pct"/>
            <w:noWrap w:val="0"/>
            <w:vAlign w:val="center"/>
          </w:tcPr>
          <w:p>
            <w:pPr>
              <w:keepNext w:val="0"/>
              <w:keepLines w:val="0"/>
              <w:widowControl w:val="0"/>
              <w:suppressLineNumbers w:val="0"/>
              <w:spacing w:before="60" w:beforeLines="25" w:beforeAutospacing="0" w:after="0" w:afterAutospacing="0" w:line="300" w:lineRule="auto"/>
              <w:ind w:left="0" w:leftChars="0" w:right="0" w:rightChars="0"/>
              <w:jc w:val="center"/>
              <w:rPr>
                <w:rFonts w:hint="eastAsia" w:ascii="仿宋_GB2312" w:hAnsi="仿宋_GB2312" w:eastAsia="仿宋_GB2312" w:cs="仿宋_GB2312"/>
                <w:b/>
                <w:color w:val="auto"/>
                <w:kern w:val="2"/>
                <w:sz w:val="24"/>
                <w:szCs w:val="24"/>
                <w:highlight w:val="none"/>
                <w:lang w:val="en-US" w:eastAsia="zh-CN" w:bidi="ar-SA"/>
              </w:rPr>
            </w:pPr>
          </w:p>
        </w:tc>
        <w:tc>
          <w:tcPr>
            <w:tcW w:w="790" w:type="pct"/>
            <w:noWrap w:val="0"/>
            <w:vAlign w:val="center"/>
          </w:tcPr>
          <w:p>
            <w:pPr>
              <w:keepNext w:val="0"/>
              <w:keepLines w:val="0"/>
              <w:widowControl w:val="0"/>
              <w:suppressLineNumbers w:val="0"/>
              <w:spacing w:before="60" w:beforeLines="25" w:beforeAutospacing="0" w:after="0" w:afterAutospacing="0" w:line="300" w:lineRule="auto"/>
              <w:ind w:left="0" w:leftChars="0" w:right="0" w:rightChars="0"/>
              <w:jc w:val="distribute"/>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合计</w:t>
            </w:r>
          </w:p>
        </w:tc>
        <w:tc>
          <w:tcPr>
            <w:tcW w:w="503" w:type="pct"/>
            <w:noWrap w:val="0"/>
            <w:vAlign w:val="center"/>
          </w:tcPr>
          <w:p>
            <w:pPr>
              <w:keepNext w:val="0"/>
              <w:keepLines w:val="0"/>
              <w:widowControl w:val="0"/>
              <w:suppressLineNumbers w:val="0"/>
              <w:spacing w:before="60" w:beforeLines="25" w:beforeAutospacing="0" w:after="0" w:afterAutospacing="0" w:line="300" w:lineRule="auto"/>
              <w:ind w:left="0" w:leftChars="0" w:right="0" w:rightChars="0" w:firstLine="118" w:firstLineChars="49"/>
              <w:jc w:val="both"/>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
              </w:rPr>
              <w:t>100</w:t>
            </w:r>
          </w:p>
        </w:tc>
        <w:tc>
          <w:tcPr>
            <w:tcW w:w="3281" w:type="pct"/>
            <w:noWrap w:val="0"/>
            <w:vAlign w:val="center"/>
          </w:tcPr>
          <w:p>
            <w:pPr>
              <w:keepNext w:val="0"/>
              <w:keepLines w:val="0"/>
              <w:widowControl w:val="0"/>
              <w:suppressLineNumbers w:val="0"/>
              <w:spacing w:before="60" w:beforeLines="25" w:beforeAutospacing="0" w:after="0" w:afterAutospacing="0" w:line="240" w:lineRule="auto"/>
              <w:ind w:left="0" w:leftChars="0" w:right="0" w:rightChars="0"/>
              <w:jc w:val="both"/>
              <w:rPr>
                <w:rFonts w:hint="eastAsia" w:ascii="仿宋_GB2312" w:hAnsi="仿宋_GB2312" w:eastAsia="仿宋_GB2312" w:cs="仿宋_GB2312"/>
                <w:b/>
                <w:color w:val="auto"/>
                <w:kern w:val="2"/>
                <w:sz w:val="24"/>
                <w:szCs w:val="24"/>
                <w:highlight w:val="none"/>
                <w:lang w:val="en-US" w:eastAsia="zh-CN" w:bidi="ar-SA"/>
              </w:rPr>
            </w:pPr>
          </w:p>
        </w:tc>
      </w:tr>
    </w:tbl>
    <w:p>
      <w:pPr>
        <w:pStyle w:val="4"/>
        <w:rPr>
          <w:rFonts w:hint="eastAsia" w:ascii="仿宋_GB2312" w:hAnsi="仿宋_GB2312" w:eastAsia="仿宋_GB2312" w:cs="仿宋_GB2312"/>
          <w:color w:val="auto"/>
          <w:sz w:val="24"/>
          <w:szCs w:val="24"/>
          <w:highlight w:val="none"/>
        </w:rPr>
      </w:pP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3.2报价评分（满分100分</w:t>
      </w:r>
      <w:r>
        <w:rPr>
          <w:rFonts w:hint="eastAsia" w:ascii="仿宋_GB2312" w:hAnsi="仿宋_GB2312" w:eastAsia="仿宋_GB2312" w:cs="仿宋_GB2312"/>
          <w:color w:val="auto"/>
          <w:sz w:val="24"/>
          <w:szCs w:val="24"/>
          <w:highlight w:val="none"/>
          <w:lang w:eastAsia="zh-CN"/>
        </w:rPr>
        <w:t>，权重</w:t>
      </w:r>
      <w:r>
        <w:rPr>
          <w:rFonts w:hint="eastAsia" w:ascii="仿宋_GB2312" w:hAnsi="仿宋_GB2312" w:eastAsia="仿宋_GB2312" w:cs="仿宋_GB2312"/>
          <w:color w:val="auto"/>
          <w:sz w:val="24"/>
          <w:szCs w:val="24"/>
          <w:highlight w:val="none"/>
          <w:lang w:val="en-US" w:eastAsia="zh-CN"/>
        </w:rPr>
        <w:t>0.6</w:t>
      </w:r>
      <w:r>
        <w:rPr>
          <w:rFonts w:hint="eastAsia" w:ascii="仿宋_GB2312" w:hAnsi="仿宋_GB2312" w:eastAsia="仿宋_GB2312" w:cs="仿宋_GB2312"/>
          <w:color w:val="auto"/>
          <w:sz w:val="24"/>
          <w:szCs w:val="24"/>
          <w:highlight w:val="none"/>
        </w:rPr>
        <w:t>）</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3.2.1确定评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价（以总价为评标标准）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价为经调整后的</w:t>
      </w:r>
      <w:r>
        <w:rPr>
          <w:rFonts w:hint="eastAsia" w:ascii="仿宋_GB2312" w:hAnsi="仿宋_GB2312" w:eastAsia="仿宋_GB2312" w:cs="仿宋_GB2312"/>
          <w:color w:val="auto"/>
          <w:sz w:val="24"/>
          <w:szCs w:val="24"/>
          <w:highlight w:val="none"/>
          <w:lang w:eastAsia="zh-CN"/>
        </w:rPr>
        <w:t>各报价人的最终</w:t>
      </w:r>
      <w:r>
        <w:rPr>
          <w:rFonts w:hint="eastAsia" w:ascii="仿宋_GB2312" w:hAnsi="仿宋_GB2312" w:eastAsia="仿宋_GB2312" w:cs="仿宋_GB2312"/>
          <w:color w:val="auto"/>
          <w:sz w:val="24"/>
          <w:szCs w:val="24"/>
          <w:highlight w:val="none"/>
        </w:rPr>
        <w:t>综合含税总价</w:t>
      </w:r>
      <w:r>
        <w:rPr>
          <w:rFonts w:hint="eastAsia" w:ascii="仿宋_GB2312" w:hAnsi="仿宋_GB2312" w:eastAsia="仿宋_GB2312" w:cs="仿宋_GB2312"/>
          <w:color w:val="auto"/>
          <w:sz w:val="24"/>
          <w:szCs w:val="24"/>
          <w:highlight w:val="none"/>
          <w:lang w:eastAsia="zh-CN"/>
        </w:rPr>
        <w:t>报价</w:t>
      </w:r>
      <w:r>
        <w:rPr>
          <w:rFonts w:hint="eastAsia" w:ascii="仿宋_GB2312" w:hAnsi="仿宋_GB2312" w:eastAsia="仿宋_GB2312" w:cs="仿宋_GB2312"/>
          <w:color w:val="auto"/>
          <w:sz w:val="24"/>
          <w:szCs w:val="24"/>
          <w:highlight w:val="none"/>
        </w:rPr>
        <w:t>。</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（1）若因税金不一致，则在评标时修正到同一个标准。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价仅作为评审时将各</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报价调整到同一水平，以便进行比较，中选后合同</w:t>
      </w:r>
      <w:r>
        <w:rPr>
          <w:rFonts w:hint="eastAsia" w:ascii="仿宋_GB2312" w:hAnsi="仿宋_GB2312" w:eastAsia="仿宋_GB2312" w:cs="仿宋_GB2312"/>
          <w:color w:val="auto"/>
          <w:sz w:val="24"/>
          <w:szCs w:val="24"/>
          <w:highlight w:val="none"/>
          <w:lang w:eastAsia="zh-CN"/>
        </w:rPr>
        <w:t>暂定含税金额</w:t>
      </w:r>
      <w:r>
        <w:rPr>
          <w:rFonts w:hint="eastAsia" w:ascii="仿宋_GB2312" w:hAnsi="仿宋_GB2312" w:eastAsia="仿宋_GB2312" w:cs="仿宋_GB2312"/>
          <w:color w:val="auto"/>
          <w:sz w:val="24"/>
          <w:szCs w:val="24"/>
          <w:highlight w:val="none"/>
        </w:rPr>
        <w:t>仍然为</w:t>
      </w:r>
      <w:r>
        <w:rPr>
          <w:rFonts w:hint="eastAsia" w:ascii="仿宋_GB2312" w:hAnsi="仿宋_GB2312" w:eastAsia="仿宋_GB2312" w:cs="仿宋_GB2312"/>
          <w:color w:val="auto"/>
          <w:sz w:val="24"/>
          <w:szCs w:val="24"/>
          <w:highlight w:val="none"/>
          <w:lang w:eastAsia="zh-CN"/>
        </w:rPr>
        <w:t>中选人最终</w:t>
      </w:r>
      <w:r>
        <w:rPr>
          <w:rFonts w:hint="eastAsia" w:ascii="仿宋_GB2312" w:hAnsi="仿宋_GB2312" w:eastAsia="仿宋_GB2312" w:cs="仿宋_GB2312"/>
          <w:color w:val="auto"/>
          <w:sz w:val="24"/>
          <w:szCs w:val="24"/>
          <w:highlight w:val="none"/>
        </w:rPr>
        <w:t>综合含税总价报价。</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3.2.2 报价得分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的最低评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价得分为100分。各</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的评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价高于有效最低评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价，每高1%扣0.5分，扣完为止。计算分值时保留小数点后二位。</w:t>
      </w:r>
    </w:p>
    <w:p>
      <w:pP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报价得分＝100-[(评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价－有效最低评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 有效最低评</w:t>
      </w:r>
      <w:r>
        <w:rPr>
          <w:rFonts w:hint="eastAsia" w:ascii="仿宋_GB2312" w:hAnsi="仿宋_GB2312" w:eastAsia="仿宋_GB2312" w:cs="仿宋_GB2312"/>
          <w:color w:val="auto"/>
          <w:sz w:val="24"/>
          <w:szCs w:val="24"/>
          <w:highlight w:val="none"/>
          <w:lang w:eastAsia="zh-CN"/>
        </w:rPr>
        <w:t>审</w:t>
      </w:r>
      <w:r>
        <w:rPr>
          <w:rFonts w:hint="eastAsia" w:ascii="仿宋_GB2312" w:hAnsi="仿宋_GB2312" w:eastAsia="仿宋_GB2312" w:cs="仿宋_GB2312"/>
          <w:color w:val="auto"/>
          <w:sz w:val="24"/>
          <w:szCs w:val="24"/>
          <w:highlight w:val="none"/>
        </w:rPr>
        <w:t>价×100]×0.5。</w:t>
      </w:r>
    </w:p>
    <w:p>
      <w:pPr>
        <w:spacing w:line="360" w:lineRule="auto"/>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 xml:space="preserve">4  </w:t>
      </w:r>
      <w:r>
        <w:rPr>
          <w:rFonts w:hint="eastAsia" w:ascii="仿宋_GB2312" w:hAnsi="仿宋_GB2312" w:eastAsia="仿宋_GB2312" w:cs="仿宋_GB2312"/>
          <w:b/>
          <w:bCs/>
          <w:color w:val="auto"/>
          <w:sz w:val="24"/>
          <w:szCs w:val="24"/>
          <w:highlight w:val="none"/>
        </w:rPr>
        <w:t>综合评分</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满分为100分，其中技术评分权重为0.40；报价权重为0.60。</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单位综合得分=技术得分×0.4+报价得分×0.6</w:t>
      </w:r>
    </w:p>
    <w:p>
      <w:pPr>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5</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rPr>
        <w:t>综合排序的原则</w:t>
      </w:r>
    </w:p>
    <w:p>
      <w:pPr>
        <w:spacing w:line="360" w:lineRule="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5.1</w:t>
      </w:r>
      <w:r>
        <w:rPr>
          <w:rFonts w:hint="eastAsia" w:ascii="仿宋_GB2312" w:hAnsi="仿宋_GB2312" w:eastAsia="仿宋_GB2312" w:cs="仿宋_GB2312"/>
          <w:color w:val="auto"/>
          <w:sz w:val="24"/>
          <w:szCs w:val="24"/>
          <w:highlight w:val="none"/>
        </w:rPr>
        <w:t>评审小组根据综合得分情况</w:t>
      </w:r>
      <w:r>
        <w:rPr>
          <w:rFonts w:hint="eastAsia" w:ascii="仿宋_GB2312" w:hAnsi="仿宋_GB2312" w:eastAsia="仿宋_GB2312" w:cs="仿宋_GB2312"/>
          <w:bCs/>
          <w:color w:val="auto"/>
          <w:sz w:val="24"/>
          <w:szCs w:val="24"/>
          <w:highlight w:val="none"/>
        </w:rPr>
        <w:t>按得分高低进行推荐排序</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Cs/>
          <w:color w:val="auto"/>
          <w:sz w:val="24"/>
          <w:szCs w:val="24"/>
          <w:highlight w:val="none"/>
        </w:rPr>
        <w:t>并推荐得分前二名的为第一、第二候选人</w:t>
      </w:r>
      <w:r>
        <w:rPr>
          <w:rFonts w:hint="eastAsia" w:ascii="仿宋_GB2312" w:hAnsi="仿宋_GB2312" w:eastAsia="仿宋_GB2312" w:cs="仿宋_GB2312"/>
          <w:bCs/>
          <w:color w:val="auto"/>
          <w:sz w:val="24"/>
          <w:szCs w:val="24"/>
          <w:highlight w:val="none"/>
          <w:lang w:eastAsia="zh-CN"/>
        </w:rPr>
        <w:t>，甲方</w:t>
      </w:r>
      <w:r>
        <w:rPr>
          <w:rFonts w:hint="eastAsia" w:ascii="仿宋_GB2312" w:hAnsi="仿宋_GB2312" w:eastAsia="仿宋_GB2312" w:cs="仿宋_GB2312"/>
          <w:bCs/>
          <w:color w:val="auto"/>
          <w:sz w:val="24"/>
          <w:szCs w:val="24"/>
          <w:highlight w:val="none"/>
        </w:rPr>
        <w:t>与其中一名签订合同</w:t>
      </w:r>
      <w:r>
        <w:rPr>
          <w:rFonts w:hint="eastAsia" w:ascii="仿宋_GB2312" w:hAnsi="仿宋_GB2312" w:eastAsia="仿宋_GB2312" w:cs="仿宋_GB2312"/>
          <w:bCs/>
          <w:color w:val="auto"/>
          <w:sz w:val="24"/>
          <w:szCs w:val="24"/>
          <w:highlight w:val="none"/>
          <w:lang w:eastAsia="zh-CN"/>
        </w:rPr>
        <w:t>，中选单位不与甲方签订书面合同或签订书面合同过程中对项目实质性条款提出变更的，甲方有权按照项目评审排名选择与下一顺位报价人签订书面合同。</w:t>
      </w:r>
    </w:p>
    <w:p>
      <w:pPr>
        <w:spacing w:line="360" w:lineRule="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5.2</w:t>
      </w:r>
      <w:r>
        <w:rPr>
          <w:rFonts w:hint="eastAsia" w:ascii="仿宋_GB2312" w:hAnsi="仿宋_GB2312" w:eastAsia="仿宋_GB2312" w:cs="仿宋_GB2312"/>
          <w:bCs/>
          <w:color w:val="auto"/>
          <w:sz w:val="24"/>
          <w:szCs w:val="24"/>
          <w:highlight w:val="none"/>
          <w:lang w:eastAsia="zh-CN"/>
        </w:rPr>
        <w:t>中选人收到川南发电公司中选通知书的，应当在</w:t>
      </w:r>
      <w:r>
        <w:rPr>
          <w:rFonts w:hint="eastAsia" w:ascii="仿宋_GB2312" w:hAnsi="仿宋_GB2312" w:eastAsia="仿宋_GB2312" w:cs="仿宋_GB2312"/>
          <w:bCs/>
          <w:color w:val="auto"/>
          <w:sz w:val="24"/>
          <w:szCs w:val="24"/>
          <w:highlight w:val="none"/>
          <w:lang w:val="en-US" w:eastAsia="zh-CN"/>
        </w:rPr>
        <w:t>15</w:t>
      </w:r>
      <w:r>
        <w:rPr>
          <w:rFonts w:hint="eastAsia" w:ascii="仿宋_GB2312" w:hAnsi="仿宋_GB2312" w:eastAsia="仿宋_GB2312" w:cs="仿宋_GB2312"/>
          <w:bCs/>
          <w:color w:val="auto"/>
          <w:sz w:val="24"/>
          <w:szCs w:val="24"/>
          <w:highlight w:val="none"/>
          <w:lang w:eastAsia="zh-CN"/>
        </w:rPr>
        <w:t>日内与川南发电公司签订项目书面合同，且不得对项目合同实质性条款作出实质性修改，否则川南发电公司有权取消其中选资格，川南发电公司将根据项目情况和评审结果确定下一顺位报价人为中选人或重新组织项目采购。</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rPr>
    </w:pPr>
    <w:r>
      <w:rPr>
        <w:rFonts w:hint="eastAsia" w:ascii="宋体" w:hAnsi="宋体" w:eastAsia="宋体" w:cs="宋体"/>
        <w:szCs w:val="21"/>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ZWQzMjA2MGFhZDIyMTNkNzJkMTI5NTZmMTM3OWIifQ=="/>
  </w:docVars>
  <w:rsids>
    <w:rsidRoot w:val="769F5C02"/>
    <w:rsid w:val="05E522EE"/>
    <w:rsid w:val="06382740"/>
    <w:rsid w:val="08C27FA9"/>
    <w:rsid w:val="0D5A5D10"/>
    <w:rsid w:val="109212FD"/>
    <w:rsid w:val="11811E1A"/>
    <w:rsid w:val="1DB24DC5"/>
    <w:rsid w:val="201F6EE4"/>
    <w:rsid w:val="23FB7198"/>
    <w:rsid w:val="2BB327BE"/>
    <w:rsid w:val="31705AB0"/>
    <w:rsid w:val="334760AD"/>
    <w:rsid w:val="37651393"/>
    <w:rsid w:val="3A445A5E"/>
    <w:rsid w:val="3BBF40E9"/>
    <w:rsid w:val="3C7207B9"/>
    <w:rsid w:val="457C6599"/>
    <w:rsid w:val="4A0C39AB"/>
    <w:rsid w:val="4A5C3A92"/>
    <w:rsid w:val="4F7D2354"/>
    <w:rsid w:val="58C33BAC"/>
    <w:rsid w:val="66BD48AE"/>
    <w:rsid w:val="67313DEE"/>
    <w:rsid w:val="6D261CBD"/>
    <w:rsid w:val="72B322CC"/>
    <w:rsid w:val="769F5C02"/>
    <w:rsid w:val="773000B7"/>
    <w:rsid w:val="7AA02620"/>
    <w:rsid w:val="7ABF61E9"/>
    <w:rsid w:val="7D9D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2023-07-31T06:10:00Z</dcterms:created>
  <dc:creator>刘继行</dc:creator>
  <cp:lastModifiedBy>刘继行</cp:lastModifiedBy>
  <dcterms:modified xsi:type="dcterms:W3CDTF">2024-04-16T05:05:07Z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0ECC1DB817A643BB9B92B1D8A03F5731_13</vt:lpwstr>
  </property>
</Properties>
</file>