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宋体" w:hAnsi="宋体" w:eastAsia="宋体" w:cs="宋体"/>
          <w:b/>
          <w:bCs w:val="0"/>
          <w:color w:val="auto"/>
          <w:kern w:val="2"/>
          <w:sz w:val="24"/>
          <w:szCs w:val="24"/>
          <w:highlight w:val="none"/>
          <w:lang w:val="en-US" w:eastAsia="zh-CN" w:bidi="ar-SA"/>
        </w:rPr>
      </w:pPr>
      <w:r>
        <w:rPr>
          <w:rFonts w:hint="eastAsia" w:ascii="方正小标宋简体" w:hAnsi="方正小标宋简体" w:eastAsia="方正小标宋简体" w:cs="方正小标宋简体"/>
          <w:b w:val="0"/>
          <w:bCs/>
          <w:sz w:val="44"/>
          <w:szCs w:val="44"/>
          <w:lang w:val="en-US" w:eastAsia="zh-CN"/>
        </w:rPr>
        <w:t>2024年起重设备年检整改项目</w:t>
      </w:r>
      <w:r>
        <w:rPr>
          <w:rFonts w:hint="eastAsia" w:ascii="方正小标宋简体" w:hAnsi="方正小标宋简体" w:eastAsia="方正小标宋简体" w:cs="方正小标宋简体"/>
          <w:b w:val="0"/>
          <w:bCs/>
          <w:sz w:val="44"/>
          <w:szCs w:val="44"/>
          <w:lang w:val="zh-CN" w:eastAsia="zh-CN"/>
        </w:rPr>
        <w:t>报价单</w:t>
      </w:r>
    </w:p>
    <w:tbl>
      <w:tblPr>
        <w:tblStyle w:val="8"/>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777"/>
        <w:gridCol w:w="115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358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综合含税总价（元）</w:t>
            </w:r>
          </w:p>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154" w:type="dxa"/>
            <w:noWrap w:val="0"/>
            <w:vAlign w:val="center"/>
          </w:tcPr>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219"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2024年起重设备年检整改项目</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54"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此项费用为</w:t>
            </w:r>
            <w:r>
              <w:rPr>
                <w:rFonts w:hint="eastAsia" w:ascii="仿宋_GB2312" w:hAnsi="仿宋_GB2312" w:eastAsia="仿宋_GB2312" w:cs="仿宋_GB2312"/>
                <w:bCs/>
                <w:color w:val="auto"/>
                <w:sz w:val="24"/>
                <w:highlight w:val="none"/>
              </w:rPr>
              <w:t>2024年起重设备年检整改项目</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588" w:type="dxa"/>
            <w:noWrap w:val="0"/>
            <w:vAlign w:val="center"/>
          </w:tcPr>
          <w:p>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150" w:type="dxa"/>
            <w:gridSpan w:val="3"/>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w:t>
            </w:r>
            <w:r>
              <w:rPr>
                <w:rFonts w:hint="eastAsia" w:ascii="仿宋_GB2312" w:hAnsi="仿宋_GB2312" w:eastAsia="仿宋_GB2312" w:cs="仿宋_GB2312"/>
                <w:b w:val="0"/>
                <w:bCs/>
                <w:sz w:val="24"/>
                <w:lang w:val="en-US" w:eastAsia="zh-CN"/>
              </w:rPr>
              <w:t>：安全文明施费</w:t>
            </w:r>
          </w:p>
        </w:tc>
        <w:tc>
          <w:tcPr>
            <w:tcW w:w="2931" w:type="dxa"/>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sz w:val="24"/>
              </w:rPr>
            </w:pPr>
            <w:r>
              <w:rPr>
                <w:rFonts w:hint="eastAsia" w:ascii="仿宋_GB2312" w:hAnsi="仿宋_GB2312" w:eastAsia="仿宋_GB2312" w:cs="仿宋_GB2312"/>
                <w:b/>
                <w:bCs w:val="0"/>
                <w:color w:val="FF0000"/>
                <w:sz w:val="24"/>
                <w:highlight w:val="none"/>
                <w:lang w:val="en-US" w:eastAsia="zh-CN"/>
              </w:rPr>
              <w:t>此项为必填项，该费用为固定价，金额为2024年起重设备年检整改项目含税总报价的2.5%</w:t>
            </w:r>
          </w:p>
        </w:tc>
      </w:tr>
    </w:tbl>
    <w:p>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color w:val="FF0000"/>
          <w:sz w:val="24"/>
          <w:lang w:val="en-US" w:eastAsia="zh-CN"/>
        </w:rPr>
        <w:t>综合含税总价中包含安全文明施工费（该费用为固定价，为综合含税总报价的2.5%）</w:t>
      </w:r>
      <w:r>
        <w:rPr>
          <w:rFonts w:hint="eastAsia" w:ascii="仿宋_GB2312" w:hAnsi="仿宋_GB2312" w:eastAsia="仿宋_GB2312" w:cs="仿宋_GB2312"/>
          <w:sz w:val="24"/>
          <w:lang w:val="en-US" w:eastAsia="zh-CN"/>
        </w:rPr>
        <w:t>，合同履行期间，乙方应按照此项报价足额投入安全文明施工费。</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2.报价有效期为报价截止之日起90天（到期日为周末或法定节假日的，顺延至下一个工作日）。</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3.法定代表人亲自报价的，应提供法定代表人身份证明；非报价单位法定代表人亲自报价的，应提供授权委托书（经法定代表人签字并加盖公司公章，授权范围应至少包括报价、谈判、签订合同）。</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4.本报价单标注的实质性条款为项目合同的主要条款，若中选，报价人不得要求对实质性条款作出实质性修改，否则采购人有权取消其中选资格。</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5.本项目第一次报价截至后报价人不足三家，采购人选择进行第二次竞争性谈判的，本报价及报价文件仍有效，采购人有权不退回且将该报价与本项目第二次报价中的其他报价人一起作为本项目评审对象。</w:t>
      </w:r>
    </w:p>
    <w:p>
      <w:pPr>
        <w:numPr>
          <w:ilvl w:val="-1"/>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报价保证金为¥0.3万元（叁仟元整），到账截止时间为2024年12月24</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pPr>
        <w:pStyle w:val="4"/>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账号</w:t>
      </w:r>
      <w:r>
        <w:rPr>
          <w:rFonts w:hint="eastAsia" w:ascii="仿宋_GB2312" w:hAnsi="仿宋_GB2312" w:eastAsia="仿宋_GB2312" w:cs="仿宋_GB2312"/>
          <w:kern w:val="2"/>
          <w:sz w:val="24"/>
          <w:szCs w:val="24"/>
          <w:highlight w:val="none"/>
          <w:lang w:val="en-US" w:eastAsia="zh-CN" w:bidi="ar-SA"/>
        </w:rPr>
        <w:t>：2304343119122102403</w:t>
      </w:r>
    </w:p>
    <w:p>
      <w:pPr>
        <w:pStyle w:val="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kern w:val="2"/>
          <w:szCs w:val="24"/>
          <w:highlight w:val="none"/>
        </w:rPr>
      </w:pPr>
      <w:r>
        <w:rPr>
          <w:rFonts w:hint="eastAsia" w:ascii="仿宋_GB2312" w:hAnsi="仿宋_GB2312" w:eastAsia="仿宋_GB2312" w:cs="仿宋_GB2312"/>
          <w:kern w:val="2"/>
          <w:szCs w:val="24"/>
          <w:highlight w:val="none"/>
        </w:rPr>
        <w:t>报价人须将报价保证金存入以上账户，非报价人账户存入的，其报价文件不被采购人接受。</w:t>
      </w:r>
    </w:p>
    <w:p>
      <w:pPr>
        <w:pStyle w:val="4"/>
        <w:keepNext w:val="0"/>
        <w:keepLines w:val="0"/>
        <w:pageBreakBefore w:val="0"/>
        <w:widowControl w:val="0"/>
        <w:kinsoku/>
        <w:wordWrap/>
        <w:overflowPunct/>
        <w:topLinePunct w:val="0"/>
        <w:autoSpaceDE/>
        <w:autoSpaceDN/>
        <w:bidi w:val="0"/>
        <w:snapToGrid/>
        <w:spacing w:line="360" w:lineRule="auto"/>
        <w:ind w:firstLine="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kern w:val="2"/>
          <w:szCs w:val="24"/>
          <w:highlight w:val="none"/>
        </w:rPr>
        <w:t>采购人在与中选人签订书面合同后的30日内退还中选人及未中选人报价保证金（无息），采购人在中选单位不与采购人签订书面合同或签订书面合同过程中对项目实质性条款提出变</w:t>
      </w:r>
      <w:r>
        <w:rPr>
          <w:rFonts w:hint="eastAsia" w:ascii="仿宋_GB2312" w:hAnsi="仿宋_GB2312" w:eastAsia="仿宋_GB2312" w:cs="仿宋_GB2312"/>
          <w:kern w:val="2"/>
          <w:szCs w:val="24"/>
        </w:rPr>
        <w:t>更的，采购人有权按照项目评审排名选择与下一顺位报价人签订书面合同。</w:t>
      </w:r>
    </w:p>
    <w:p>
      <w:pPr>
        <w:pStyle w:val="4"/>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1.1本项目合同签订后，乙方应向甲方开具合同金额10%的收据，经甲方审核后30日内，甲方向乙方支付合同含税金额10%作为预付款（含本项目的安全文明施工费）。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1.2本项目竣工并经甲方验收合格，乙方向甲方开具合同金额100%的增值税专用发票和付款申请和《有关按时支付项目工资、劳务费等费用的承诺书》（详见附件）后30日内，甲方向乙方支付至合同含税金额的100%；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1.3甲方向乙方支付相应价款时，有权扣除乙方被甲方考核的费用。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本项目涉及常用切割焊接材料、设备、工器具、施工、人工、管理、安全生产、环境保护、职业病预防治等工作，完成本项目全部工作所需的全部费用均包含在“</w:t>
      </w:r>
      <w:r>
        <w:rPr>
          <w:rFonts w:hint="eastAsia" w:ascii="仿宋_GB2312" w:hAnsi="仿宋_GB2312" w:eastAsia="仿宋_GB2312" w:cs="仿宋_GB2312"/>
          <w:b w:val="0"/>
          <w:bCs/>
          <w:sz w:val="24"/>
          <w:lang w:eastAsia="zh-CN"/>
        </w:rPr>
        <w:t>综合含税总价</w:t>
      </w:r>
      <w:r>
        <w:rPr>
          <w:rFonts w:hint="eastAsia" w:ascii="仿宋_GB2312" w:hAnsi="仿宋_GB2312" w:eastAsia="仿宋_GB2312" w:cs="仿宋_GB2312"/>
          <w:sz w:val="24"/>
          <w:szCs w:val="24"/>
          <w:lang w:eastAsia="zh-CN"/>
        </w:rPr>
        <w:t>”金额里，甲方提供脚手架搭拆及本项目所需主材。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本项目所有工作须在</w:t>
      </w:r>
      <w:r>
        <w:rPr>
          <w:rFonts w:hint="eastAsia" w:ascii="仿宋_GB2312" w:hAnsi="仿宋_GB2312" w:eastAsia="仿宋_GB2312" w:cs="仿宋_GB2312"/>
          <w:sz w:val="24"/>
          <w:szCs w:val="24"/>
          <w:lang w:val="en-US" w:eastAsia="zh-CN"/>
        </w:rPr>
        <w:t>2025年1月15日</w:t>
      </w:r>
      <w:r>
        <w:rPr>
          <w:rFonts w:hint="eastAsia" w:ascii="仿宋_GB2312" w:hAnsi="仿宋_GB2312" w:eastAsia="仿宋_GB2312" w:cs="仿宋_GB2312"/>
          <w:sz w:val="24"/>
          <w:szCs w:val="24"/>
          <w:lang w:eastAsia="zh-CN"/>
        </w:rPr>
        <w:t>前完成。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2.工作范围及工作要求：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乙方须特种设备监督检验TSG 51—2023起重机械安全技术规程要求，在甲方厂区内对甲方沉砂池旋转滤网、煤仓间57M、除灰空压机房、江边取水泵房、机务二队检修间、碎煤机室、综合水泵房、推土机房等，共计8处行车起吊设备安装检修爬梯、平台等设施（预计制作安装平台24㎡、爬梯：40㎡、护栏（含踢脚板）60㎡、护笼30㎡、部分施工需起吊作业）</w:t>
      </w:r>
      <w:r>
        <w:rPr>
          <w:rFonts w:hint="eastAsia" w:ascii="仿宋_GB2312" w:hAnsi="仿宋_GB2312" w:eastAsia="仿宋_GB2312" w:cs="仿宋_GB2312"/>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工程质量规范书》《检修管理协议》《技术协议（或技术条件书）》《安全管理协议》《环保管理协议》《检修质量、进度考核实施细则》以及其他相关管理制度要求（包括甲方已发布和合同期内新发布的所有规章制度）。</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1.乙方未按照合同履行义务的，甲方有权不支付任何价款并有权解除合同，因此给甲方造成损失的，乙方应承担损害赔偿责任。</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乙方委派人员的数量、技能、工器具等不能满足本项目要求或因劳动劳务纠纷、工资支付、社保缴纳等问题导致项目工作无法正常进行，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pPr>
        <w:keepNext w:val="0"/>
        <w:keepLines w:val="0"/>
        <w:pageBreakBefore w:val="0"/>
        <w:widowControl w:val="0"/>
        <w:kinsoku/>
        <w:wordWrap/>
        <w:overflowPunct/>
        <w:topLinePunct w:val="0"/>
        <w:autoSpaceDE/>
        <w:autoSpaceDN/>
        <w:bidi w:val="0"/>
        <w:snapToGrid/>
        <w:spacing w:line="360" w:lineRule="auto"/>
        <w:ind w:firstLine="481"/>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4.若本项目发生项目工作人员、劳务工讨薪情形，甲方有权将乙方列入甲方不合格供应商名单。</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五、报价、谈判纪律</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报价人不得相互串通报价，不得排挤其他报价人公平竞争，不得干扰采购人的评审谈判工作，不得以任何形式打探和搜集评审谈判情况，不得与采购人、同类项目单位串通报价，损害国家利益，社会公共利益或者他人利益。</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2.报价人只能通过竞争性谈判公告允许的方式向采购人送达报价文件，否则采购人有权不接受该报价。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3.严禁报价人向采购人及其工作人员、同类项目单位及其工作人员以行贿的手段谋取中选。</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六、评选规则</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报价截止后，采购人将按公司非招标采购相关规定组织对报价人资质进行符合性审查（评审小组共3人,由竞争性谈判人的技术、经济专家组成，另设监督组1人），审查后确定通过符合性审查的报价人报价具有竞争性的，采购人将对通过符合性审查的报价人的最终价格由低到高排序，价低者优先中选，最低报价超出采购人项目预算的，采购人有权不予采纳。</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若评审过程中发现报价人出现违反报价纪律的行为的，采购人有权废除其报价资格并有权将违纪方列入报价黑名单，被列入报价黑名单的供应商一年内（自违纪行为被发现之日起算）不得参与采购人所有项目的报价。</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3.中选人应在采购人发出中选通知书的的5日内按照公告要求将其报价资料原件邮寄或专人送达至采购人处，报价资料原件应与邮箱报价资料一致（但经评审谈判且双方确认变更的除外），否则采购人有权取消其中选资格。</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4.中选人应在采购人发出中选通知书之日起30日内与采购人签订项目书面合同，且不得对项目合同实质性条款作出实质性修改，否则采购人有权取消其中选资格；报价有效期内，采购人将根据项目情况和评审结果确定下一顺位报价人为中选人或重新组织项目采购。</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七、其他说明（乙方填写）：</w:t>
      </w: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360" w:lineRule="auto"/>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乙方：施 工 单 位 名 称（盖公司专用章） </w:t>
      </w:r>
    </w:p>
    <w:p>
      <w:pPr>
        <w:keepNext w:val="0"/>
        <w:keepLines w:val="0"/>
        <w:pageBreakBefore w:val="0"/>
        <w:widowControl w:val="0"/>
        <w:kinsoku/>
        <w:wordWrap/>
        <w:overflowPunct/>
        <w:topLinePunct w:val="0"/>
        <w:autoSpaceDE/>
        <w:autoSpaceDN/>
        <w:bidi w:val="0"/>
        <w:snapToGrid/>
        <w:spacing w:line="360" w:lineRule="auto"/>
        <w:ind w:firstLine="5040" w:firstLineChars="2100"/>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 xml:space="preserve">年    月    日   </w:t>
      </w: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pPr>
        <w:widowControl/>
        <w:spacing w:line="360" w:lineRule="auto"/>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（中选后合同及合同履行资料邮寄地址）</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pPr>
        <w:pStyle w:val="2"/>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pPr>
        <w:widowControl/>
        <w:spacing w:line="360" w:lineRule="auto"/>
        <w:rPr>
          <w:rFonts w:ascii="仿宋_GB2312" w:hAnsi="仿宋_GB2312" w:eastAsia="仿宋_GB2312" w:cs="仿宋_GB2312"/>
          <w:sz w:val="24"/>
        </w:rPr>
      </w:pPr>
    </w:p>
    <w:p>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pPr>
        <w:widowControl/>
        <w:spacing w:line="360" w:lineRule="auto"/>
        <w:rPr>
          <w:rFonts w:ascii="仿宋_GB2312" w:hAnsi="仿宋_GB2312" w:eastAsia="仿宋_GB2312" w:cs="仿宋_GB2312"/>
          <w:sz w:val="24"/>
        </w:rPr>
      </w:pP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（盖单位公章/专用章）</w:t>
      </w: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pPr>
        <w:adjustRightInd w:val="0"/>
        <w:snapToGrid w:val="0"/>
        <w:spacing w:line="300" w:lineRule="auto"/>
        <w:rPr>
          <w:rFonts w:ascii="仿宋_GB2312" w:hAnsi="仿宋_GB2312" w:eastAsia="仿宋_GB2312" w:cs="仿宋_GB2312"/>
          <w:sz w:val="24"/>
        </w:rPr>
      </w:pPr>
    </w:p>
    <w:p>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我公司已充分了解2024年起重设备年检整改项目的全部工作内容，并完全了解和理解</w:t>
      </w:r>
      <w:r>
        <w:rPr>
          <w:rFonts w:hint="eastAsia" w:ascii="仿宋_GB2312" w:hAnsi="仿宋_GB2312" w:eastAsia="仿宋_GB2312" w:cs="仿宋_GB2312"/>
          <w:sz w:val="24"/>
          <w:u w:val="single"/>
        </w:rPr>
        <w:t>竞争性谈判</w:t>
      </w:r>
      <w:r>
        <w:rPr>
          <w:rFonts w:hint="eastAsia" w:ascii="仿宋_GB2312" w:hAnsi="仿宋_GB2312" w:eastAsia="仿宋_GB2312" w:cs="仿宋_GB2312"/>
          <w:sz w:val="24"/>
        </w:rPr>
        <w:t>文件的要求。我公司同意自报价截止之日起90天内，本次报价一直对我公司具有约束力，并随时被接受。</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2.若中选，</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中选，我方自贵方发出中选通知书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pPr>
        <w:numPr>
          <w:ilvl w:val="-1"/>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若中选，因我方原因未按</w:t>
      </w:r>
      <w:r>
        <w:rPr>
          <w:rFonts w:hint="eastAsia" w:ascii="仿宋_GB2312" w:hAnsi="仿宋_GB2312" w:eastAsia="仿宋_GB2312" w:cs="仿宋_GB2312"/>
          <w:sz w:val="24"/>
          <w:u w:val="none"/>
          <w:lang w:val="en-US" w:eastAsia="zh-CN"/>
        </w:rPr>
        <w:t>竞争性谈判</w:t>
      </w:r>
      <w:r>
        <w:rPr>
          <w:rFonts w:hint="eastAsia" w:ascii="仿宋_GB2312" w:hAnsi="仿宋_GB2312" w:eastAsia="仿宋_GB2312" w:cs="仿宋_GB2312"/>
          <w:sz w:val="24"/>
          <w:lang w:eastAsia="zh-CN"/>
        </w:rPr>
        <w:t>文件要求与贵方签订书面合同，贵方有权扣除我方的报价保证金并有权取消我方中选资格。</w:t>
      </w:r>
    </w:p>
    <w:p>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5.在整个竞争性谈判过程中，我方若有违规行为，贵方可按竞争性谈判文件之规定给予惩罚，我方完全接受</w:t>
      </w:r>
      <w:r>
        <w:rPr>
          <w:rFonts w:hint="eastAsia" w:ascii="仿宋_GB2312" w:hAnsi="仿宋_GB2312" w:eastAsia="仿宋_GB2312" w:cs="仿宋_GB2312"/>
          <w:bCs/>
          <w:sz w:val="24"/>
        </w:rPr>
        <w:t xml:space="preserve">。         </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default"/>
          <w:lang w:val="zh-CN" w:eastAsia="zh-CN"/>
        </w:rPr>
      </w:pP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pPr>
        <w:spacing w:line="240" w:lineRule="auto"/>
        <w:ind w:firstLine="0" w:firstLineChars="0"/>
        <w:rPr>
          <w:rFonts w:hint="eastAsia" w:ascii="仿宋_GB2312" w:hAnsi="仿宋_GB2312" w:eastAsia="仿宋_GB2312" w:cs="仿宋_GB2312"/>
          <w:sz w:val="32"/>
          <w:szCs w:val="32"/>
          <w:lang w:val="en-US" w:eastAsia="zh-CN"/>
        </w:rPr>
      </w:pPr>
    </w:p>
    <w:p>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XXXX项目现已竣工并通过贵方验收，现我公司承诺我方将依法向本项目所涉及的项目工作人员、劳务人员按时足额支付工资、劳务费等费用，若上述人员因本项目发生讨薪情形的，由我公司承担全部责任。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pPr>
        <w:spacing w:line="576" w:lineRule="exact"/>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pPr>
        <w:spacing w:line="24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pPr>
        <w:spacing w:line="240" w:lineRule="auto"/>
        <w:ind w:firstLine="0" w:firstLineChars="0"/>
        <w:jc w:val="left"/>
        <w:rPr>
          <w:rFonts w:hint="eastAsia" w:ascii="楷体_GB2312" w:hAnsi="宋体" w:eastAsia="楷体_GB2312"/>
          <w:b/>
          <w:sz w:val="24"/>
          <w:szCs w:val="24"/>
        </w:rPr>
      </w:pP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pPr>
        <w:pStyle w:val="6"/>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4.甲方有责任对其在生产场地的甲方有关人员进行安全教育，并对他们的安全负责。</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pPr>
        <w:pStyle w:val="14"/>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16.乙方在正式履行合同前，应主动到甲方安全管理部门接受安全培训，提交符合本协议要求的相关安全管理证明文件。</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pPr>
        <w:spacing w:line="240" w:lineRule="auto"/>
        <w:ind w:firstLine="0" w:firstLineChars="0"/>
        <w:rPr>
          <w:rFonts w:ascii="Times New Roman" w:hAnsi="Times New Roman" w:eastAsia="宋体"/>
          <w:sz w:val="21"/>
          <w:szCs w:val="24"/>
        </w:rPr>
      </w:pPr>
    </w:p>
    <w:p>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pPr>
        <w:spacing w:line="360" w:lineRule="auto"/>
        <w:ind w:firstLine="472" w:firstLineChars="196"/>
        <w:jc w:val="left"/>
        <w:rPr>
          <w:rFonts w:hint="eastAsia" w:ascii="仿宋_GB2312" w:hAnsi="仿宋_GB2312" w:eastAsia="仿宋_GB2312" w:cs="仿宋_GB2312"/>
          <w:b/>
          <w:sz w:val="24"/>
          <w:szCs w:val="24"/>
        </w:rPr>
      </w:pPr>
    </w:p>
    <w:p>
      <w:pPr>
        <w:spacing w:line="360" w:lineRule="auto"/>
        <w:ind w:firstLine="472" w:firstLineChars="196"/>
        <w:jc w:val="left"/>
        <w:rPr>
          <w:rFonts w:hint="eastAsia" w:ascii="仿宋_GB2312" w:hAnsi="仿宋_GB2312" w:eastAsia="仿宋_GB2312" w:cs="仿宋_GB2312"/>
          <w:b/>
          <w:sz w:val="24"/>
          <w:szCs w:val="24"/>
        </w:rPr>
      </w:pP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p>
    <w:p>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pPr>
        <w:spacing w:line="360" w:lineRule="auto"/>
        <w:ind w:firstLine="472" w:firstLineChars="196"/>
        <w:jc w:val="left"/>
        <w:rPr>
          <w:rFonts w:hint="eastAsia" w:ascii="宋体" w:hAnsi="宋体" w:eastAsia="宋体" w:cs="宋体"/>
          <w:b/>
          <w:sz w:val="24"/>
          <w:szCs w:val="24"/>
        </w:rPr>
      </w:pPr>
    </w:p>
    <w:p>
      <w:pPr>
        <w:pStyle w:val="2"/>
        <w:rPr>
          <w:rFonts w:hint="default"/>
          <w:lang w:val="zh-CN" w:eastAsia="zh-CN"/>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52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廉洁协议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pPr>
        <w:keepNext w:val="0"/>
        <w:keepLines w:val="0"/>
        <w:pageBreakBefore w:val="0"/>
        <w:widowControl w:val="0"/>
        <w:kinsoku/>
        <w:wordWrap/>
        <w:overflowPunct/>
        <w:topLinePunct w:val="0"/>
        <w:autoSpaceDE/>
        <w:autoSpaceDN/>
        <w:bidi w:val="0"/>
        <w:adjustRightInd/>
        <w:snapToGrid/>
        <w:spacing w:before="313" w:beforeLines="100"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pPr>
        <w:pStyle w:val="1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pPr>
        <w:pStyle w:val="15"/>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pPr>
        <w:pStyle w:val="2"/>
      </w:pPr>
    </w:p>
    <w:p>
      <w:pPr>
        <w:pStyle w:val="2"/>
        <w:rPr>
          <w:rFonts w:hint="default"/>
          <w:lang w:val="zh-CN" w:eastAsia="zh-CN"/>
        </w:rPr>
      </w:pPr>
    </w:p>
    <w:sectPr>
      <w:footerReference r:id="rId3" w:type="default"/>
      <w:pgSz w:w="11906" w:h="16838"/>
      <w:pgMar w:top="720" w:right="720" w:bottom="720" w:left="72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mNhMzIwMDdhZTEwN2ZlMWYyOWFjZmNlOWZmOWMifQ=="/>
  </w:docVars>
  <w:rsids>
    <w:rsidRoot w:val="15DF504A"/>
    <w:rsid w:val="00D2753D"/>
    <w:rsid w:val="00F4558D"/>
    <w:rsid w:val="0185278D"/>
    <w:rsid w:val="01D63774"/>
    <w:rsid w:val="01E40F90"/>
    <w:rsid w:val="02531003"/>
    <w:rsid w:val="02A727D5"/>
    <w:rsid w:val="02FA7EEB"/>
    <w:rsid w:val="03B2233C"/>
    <w:rsid w:val="041C4A3E"/>
    <w:rsid w:val="04865E64"/>
    <w:rsid w:val="051B106F"/>
    <w:rsid w:val="053D2BC7"/>
    <w:rsid w:val="053F4262"/>
    <w:rsid w:val="05515CC6"/>
    <w:rsid w:val="055505E0"/>
    <w:rsid w:val="05604538"/>
    <w:rsid w:val="05965135"/>
    <w:rsid w:val="077C2D93"/>
    <w:rsid w:val="07862C80"/>
    <w:rsid w:val="0828550C"/>
    <w:rsid w:val="089C322F"/>
    <w:rsid w:val="08CF6123"/>
    <w:rsid w:val="09064E5D"/>
    <w:rsid w:val="09457446"/>
    <w:rsid w:val="0A4C3311"/>
    <w:rsid w:val="0B3F5A01"/>
    <w:rsid w:val="0B527409"/>
    <w:rsid w:val="0CC64C08"/>
    <w:rsid w:val="0D236691"/>
    <w:rsid w:val="0D2D7DC5"/>
    <w:rsid w:val="0E1E05F9"/>
    <w:rsid w:val="0E5D6740"/>
    <w:rsid w:val="0F632C4E"/>
    <w:rsid w:val="0F71038E"/>
    <w:rsid w:val="0FBD1B60"/>
    <w:rsid w:val="108D4FB5"/>
    <w:rsid w:val="110A451B"/>
    <w:rsid w:val="112530D1"/>
    <w:rsid w:val="11D626D2"/>
    <w:rsid w:val="120C66A7"/>
    <w:rsid w:val="122B4188"/>
    <w:rsid w:val="12F422EA"/>
    <w:rsid w:val="137948DE"/>
    <w:rsid w:val="13871C6A"/>
    <w:rsid w:val="143A74F2"/>
    <w:rsid w:val="15351C43"/>
    <w:rsid w:val="153C351E"/>
    <w:rsid w:val="15D339A8"/>
    <w:rsid w:val="15DF504A"/>
    <w:rsid w:val="165D40DB"/>
    <w:rsid w:val="169D6AA5"/>
    <w:rsid w:val="16A33AD0"/>
    <w:rsid w:val="175A34BD"/>
    <w:rsid w:val="17D77FEE"/>
    <w:rsid w:val="184665DD"/>
    <w:rsid w:val="18CF0341"/>
    <w:rsid w:val="193225E4"/>
    <w:rsid w:val="1A0F7BE0"/>
    <w:rsid w:val="1AA67C39"/>
    <w:rsid w:val="1C0D284B"/>
    <w:rsid w:val="1C6449AB"/>
    <w:rsid w:val="1C9956D5"/>
    <w:rsid w:val="1CA258D2"/>
    <w:rsid w:val="1CBB5978"/>
    <w:rsid w:val="1DD95960"/>
    <w:rsid w:val="1EA36A07"/>
    <w:rsid w:val="20220C48"/>
    <w:rsid w:val="206661A3"/>
    <w:rsid w:val="21036C97"/>
    <w:rsid w:val="21066CBD"/>
    <w:rsid w:val="2152636E"/>
    <w:rsid w:val="218E591C"/>
    <w:rsid w:val="22C6341A"/>
    <w:rsid w:val="237137F8"/>
    <w:rsid w:val="23D828D7"/>
    <w:rsid w:val="24DD3157"/>
    <w:rsid w:val="252834D7"/>
    <w:rsid w:val="25A847D7"/>
    <w:rsid w:val="26323CB8"/>
    <w:rsid w:val="26C329A6"/>
    <w:rsid w:val="26E15CE7"/>
    <w:rsid w:val="26E834E9"/>
    <w:rsid w:val="27AC59D6"/>
    <w:rsid w:val="27E26203"/>
    <w:rsid w:val="27EF2113"/>
    <w:rsid w:val="27F4659B"/>
    <w:rsid w:val="28020AF0"/>
    <w:rsid w:val="290C4675"/>
    <w:rsid w:val="294F0DD5"/>
    <w:rsid w:val="29B54DCA"/>
    <w:rsid w:val="2A0E1F76"/>
    <w:rsid w:val="2B7261E1"/>
    <w:rsid w:val="2C084BA9"/>
    <w:rsid w:val="2C88151C"/>
    <w:rsid w:val="2CDE0E27"/>
    <w:rsid w:val="2D897ECC"/>
    <w:rsid w:val="2E214363"/>
    <w:rsid w:val="2ED6183C"/>
    <w:rsid w:val="2F6F72B6"/>
    <w:rsid w:val="2F75106C"/>
    <w:rsid w:val="3034550A"/>
    <w:rsid w:val="30AF5CC2"/>
    <w:rsid w:val="31C91011"/>
    <w:rsid w:val="322055A9"/>
    <w:rsid w:val="32864F04"/>
    <w:rsid w:val="334E3C9D"/>
    <w:rsid w:val="33D72415"/>
    <w:rsid w:val="33EC3BB1"/>
    <w:rsid w:val="348B4ED3"/>
    <w:rsid w:val="348E1C47"/>
    <w:rsid w:val="34B70B04"/>
    <w:rsid w:val="35987EEF"/>
    <w:rsid w:val="36C00B9E"/>
    <w:rsid w:val="36C0332C"/>
    <w:rsid w:val="36DF7C46"/>
    <w:rsid w:val="3753277D"/>
    <w:rsid w:val="37846BFD"/>
    <w:rsid w:val="38192AFA"/>
    <w:rsid w:val="38381374"/>
    <w:rsid w:val="38C17A5F"/>
    <w:rsid w:val="38CC527B"/>
    <w:rsid w:val="38CD768F"/>
    <w:rsid w:val="38FA143A"/>
    <w:rsid w:val="39ED5597"/>
    <w:rsid w:val="3B25403C"/>
    <w:rsid w:val="3B3F4030"/>
    <w:rsid w:val="3BC304E2"/>
    <w:rsid w:val="3C963B1E"/>
    <w:rsid w:val="3C967EB1"/>
    <w:rsid w:val="3CA13886"/>
    <w:rsid w:val="3E736356"/>
    <w:rsid w:val="3EC009AE"/>
    <w:rsid w:val="3F9D5840"/>
    <w:rsid w:val="3FC23F6C"/>
    <w:rsid w:val="3FF366D5"/>
    <w:rsid w:val="400C7CE4"/>
    <w:rsid w:val="40487E84"/>
    <w:rsid w:val="4052623C"/>
    <w:rsid w:val="406212F8"/>
    <w:rsid w:val="40C55B80"/>
    <w:rsid w:val="4140499F"/>
    <w:rsid w:val="41BA4E25"/>
    <w:rsid w:val="41D3573A"/>
    <w:rsid w:val="43472D70"/>
    <w:rsid w:val="43A97390"/>
    <w:rsid w:val="455901D1"/>
    <w:rsid w:val="4675524F"/>
    <w:rsid w:val="46E36D08"/>
    <w:rsid w:val="475C642A"/>
    <w:rsid w:val="47F44E19"/>
    <w:rsid w:val="480B6C99"/>
    <w:rsid w:val="496E36C8"/>
    <w:rsid w:val="4B434DA7"/>
    <w:rsid w:val="4B6C74D0"/>
    <w:rsid w:val="4B785CE8"/>
    <w:rsid w:val="4DBD5747"/>
    <w:rsid w:val="4EA25710"/>
    <w:rsid w:val="4EE20E5B"/>
    <w:rsid w:val="4EF9611F"/>
    <w:rsid w:val="4EFD36FD"/>
    <w:rsid w:val="4F2C2F93"/>
    <w:rsid w:val="4FA74613"/>
    <w:rsid w:val="4FBF42E5"/>
    <w:rsid w:val="4FC50932"/>
    <w:rsid w:val="50075754"/>
    <w:rsid w:val="50614361"/>
    <w:rsid w:val="513E7984"/>
    <w:rsid w:val="516F13BD"/>
    <w:rsid w:val="51E224A0"/>
    <w:rsid w:val="523320E9"/>
    <w:rsid w:val="53192EF6"/>
    <w:rsid w:val="53BA2E6A"/>
    <w:rsid w:val="53ED6647"/>
    <w:rsid w:val="54067363"/>
    <w:rsid w:val="54AD4D7C"/>
    <w:rsid w:val="54C87530"/>
    <w:rsid w:val="55E41916"/>
    <w:rsid w:val="562C4BF8"/>
    <w:rsid w:val="56F174F7"/>
    <w:rsid w:val="574F64C5"/>
    <w:rsid w:val="57906F79"/>
    <w:rsid w:val="57AB0E67"/>
    <w:rsid w:val="5839446F"/>
    <w:rsid w:val="5907338F"/>
    <w:rsid w:val="591539B6"/>
    <w:rsid w:val="59481887"/>
    <w:rsid w:val="59EE48C0"/>
    <w:rsid w:val="59F5307C"/>
    <w:rsid w:val="5AFC259D"/>
    <w:rsid w:val="5BC95B97"/>
    <w:rsid w:val="5BE55528"/>
    <w:rsid w:val="5C19268F"/>
    <w:rsid w:val="5E0240E9"/>
    <w:rsid w:val="5E1E68F7"/>
    <w:rsid w:val="5ED41D93"/>
    <w:rsid w:val="5F0F0C08"/>
    <w:rsid w:val="5F742C08"/>
    <w:rsid w:val="5FA9471F"/>
    <w:rsid w:val="5FE57355"/>
    <w:rsid w:val="61327432"/>
    <w:rsid w:val="628F01DD"/>
    <w:rsid w:val="629B3DD8"/>
    <w:rsid w:val="62EE3C5C"/>
    <w:rsid w:val="63580A25"/>
    <w:rsid w:val="63A20927"/>
    <w:rsid w:val="63CE26DA"/>
    <w:rsid w:val="64BE2CD3"/>
    <w:rsid w:val="659B25C1"/>
    <w:rsid w:val="664F2458"/>
    <w:rsid w:val="671237C7"/>
    <w:rsid w:val="678A201F"/>
    <w:rsid w:val="6968159D"/>
    <w:rsid w:val="69B06547"/>
    <w:rsid w:val="6A944E30"/>
    <w:rsid w:val="6B4E34BB"/>
    <w:rsid w:val="6C1626E0"/>
    <w:rsid w:val="6D6D2EA1"/>
    <w:rsid w:val="6D827EB8"/>
    <w:rsid w:val="6EAC4723"/>
    <w:rsid w:val="71344A46"/>
    <w:rsid w:val="721C2C5A"/>
    <w:rsid w:val="728F2CAD"/>
    <w:rsid w:val="72CE6D66"/>
    <w:rsid w:val="73B40A19"/>
    <w:rsid w:val="73DD66F5"/>
    <w:rsid w:val="740156B9"/>
    <w:rsid w:val="74792624"/>
    <w:rsid w:val="74D81881"/>
    <w:rsid w:val="75032589"/>
    <w:rsid w:val="754945C1"/>
    <w:rsid w:val="762C0D71"/>
    <w:rsid w:val="76B05948"/>
    <w:rsid w:val="76E81026"/>
    <w:rsid w:val="777A2C1C"/>
    <w:rsid w:val="77D64548"/>
    <w:rsid w:val="77EE4A15"/>
    <w:rsid w:val="781E0815"/>
    <w:rsid w:val="782B0341"/>
    <w:rsid w:val="784D76EB"/>
    <w:rsid w:val="78D778B7"/>
    <w:rsid w:val="792F355C"/>
    <w:rsid w:val="7A023EF6"/>
    <w:rsid w:val="7A135A00"/>
    <w:rsid w:val="7A5D2A44"/>
    <w:rsid w:val="7B686135"/>
    <w:rsid w:val="7BC81A20"/>
    <w:rsid w:val="7BE2343C"/>
    <w:rsid w:val="7DE51D91"/>
    <w:rsid w:val="7EBA3045"/>
    <w:rsid w:val="7F416A9C"/>
    <w:rsid w:val="7F5759FB"/>
    <w:rsid w:val="7F87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2"/>
    <w:basedOn w:val="1"/>
    <w:qFormat/>
    <w:uiPriority w:val="0"/>
    <w:pPr>
      <w:jc w:val="left"/>
    </w:pPr>
    <w:rPr>
      <w:bCs/>
      <w:spacing w:val="10"/>
      <w:kern w:val="0"/>
    </w:rPr>
  </w:style>
  <w:style w:type="paragraph" w:styleId="4">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5">
    <w:name w:val="Body Text"/>
    <w:basedOn w:val="1"/>
    <w:next w:val="1"/>
    <w:qFormat/>
    <w:uiPriority w:val="0"/>
    <w:pPr>
      <w:spacing w:after="120"/>
    </w:pPr>
  </w:style>
  <w:style w:type="paragraph" w:styleId="6">
    <w:name w:val="Plain Text"/>
    <w:basedOn w:val="1"/>
    <w:qFormat/>
    <w:uiPriority w:val="0"/>
    <w:rPr>
      <w:rFonts w:ascii="Courier New" w:hAnsi="Courier New"/>
      <w:szCs w:val="2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61"/>
    <w:basedOn w:val="10"/>
    <w:qFormat/>
    <w:uiPriority w:val="0"/>
    <w:rPr>
      <w:rFonts w:hint="eastAsia" w:ascii="宋体" w:hAnsi="宋体" w:eastAsia="宋体" w:cs="宋体"/>
      <w:color w:val="FF0000"/>
      <w:sz w:val="22"/>
      <w:szCs w:val="22"/>
      <w:u w:val="none"/>
    </w:rPr>
  </w:style>
  <w:style w:type="paragraph" w:customStyle="1" w:styleId="12">
    <w:name w:val=" Char"/>
    <w:basedOn w:val="1"/>
    <w:qFormat/>
    <w:uiPriority w:val="0"/>
  </w:style>
  <w:style w:type="character" w:customStyle="1" w:styleId="13">
    <w:name w:val="15"/>
    <w:basedOn w:val="10"/>
    <w:qFormat/>
    <w:uiPriority w:val="0"/>
    <w:rPr>
      <w:rFonts w:hint="default" w:ascii="Calibri" w:hAnsi="Calibri" w:cs="Calibri"/>
    </w:rPr>
  </w:style>
  <w:style w:type="paragraph" w:customStyle="1" w:styleId="14">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5">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4084</Words>
  <Characters>4180</Characters>
  <Lines>1</Lines>
  <Paragraphs>1</Paragraphs>
  <TotalTime>4</TotalTime>
  <ScaleCrop>false</ScaleCrop>
  <LinksUpToDate>false</LinksUpToDate>
  <CharactersWithSpaces>5183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2023-07-28T05:38:00Z</dcterms:created>
  <dc:creator>刘继行</dc:creator>
  <cp:lastModifiedBy>刘继行</cp:lastModifiedBy>
  <dcterms:modified xsi:type="dcterms:W3CDTF">2024-12-19T02:49:53Z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21A80935B61C4136B191E9D64ED94FA7</vt:lpwstr>
  </property>
</Properties>
</file>