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C6D249">
      <w:pPr>
        <w:numPr>
          <w:ilvl w:val="0"/>
          <w:numId w:val="0"/>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bookmarkStart w:id="0" w:name="_GoBack"/>
      <w:bookmarkEnd w:id="0"/>
      <w:r>
        <w:rPr>
          <w:rFonts w:hint="eastAsia" w:ascii="方正小标宋简体" w:hAnsi="方正小标宋简体" w:eastAsia="方正小标宋简体" w:cs="方正小标宋简体"/>
          <w:b/>
          <w:bCs/>
          <w:sz w:val="32"/>
          <w:szCs w:val="32"/>
          <w:lang w:eastAsia="zh-CN"/>
        </w:rPr>
        <w:t>第一章</w:t>
      </w:r>
      <w:r>
        <w:rPr>
          <w:rFonts w:hint="eastAsia" w:ascii="方正小标宋简体" w:hAnsi="方正小标宋简体" w:eastAsia="方正小标宋简体" w:cs="方正小标宋简体"/>
          <w:b/>
          <w:bCs/>
          <w:sz w:val="32"/>
          <w:szCs w:val="32"/>
          <w:lang w:val="en-US" w:eastAsia="zh-CN"/>
        </w:rPr>
        <w:t xml:space="preserve"> 报价商务部分</w:t>
      </w:r>
    </w:p>
    <w:p w14:paraId="05204F6C">
      <w:pPr>
        <w:numPr>
          <w:ilvl w:val="0"/>
          <w:numId w:val="0"/>
        </w:numPr>
        <w:spacing w:line="360" w:lineRule="auto"/>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一、报价保证金</w:t>
      </w:r>
    </w:p>
    <w:p w14:paraId="43FA05CF">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 w:bidi="ar-SA"/>
        </w:rPr>
        <w:t>1.</w:t>
      </w:r>
      <w:r>
        <w:rPr>
          <w:rFonts w:hint="eastAsia" w:ascii="仿宋_GB2312" w:hAnsi="仿宋_GB2312" w:eastAsia="仿宋_GB2312" w:cs="仿宋_GB2312"/>
          <w:kern w:val="2"/>
          <w:sz w:val="24"/>
          <w:szCs w:val="24"/>
          <w:lang w:val="en-US" w:eastAsia="zh-CN" w:bidi="ar-SA"/>
        </w:rPr>
        <w:t>报价保证金为¥0.2万元（贰仟元整），到账截止时间为2025年X月XX日10:00，报价保证金应在到账截止时间前存入四川泸州川南发电有限责任公司基本账户。</w:t>
      </w:r>
    </w:p>
    <w:p w14:paraId="71672C07">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户名:四川泸州川南发电有限责任公司 </w:t>
      </w:r>
    </w:p>
    <w:p w14:paraId="084B3B9F">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开户银行：工行泸州江阳支行</w:t>
      </w:r>
    </w:p>
    <w:p w14:paraId="1C08DACA">
      <w:pPr>
        <w:pStyle w:val="3"/>
        <w:spacing w:line="360" w:lineRule="auto"/>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账号：2304343119122102403</w:t>
      </w:r>
    </w:p>
    <w:p w14:paraId="63CBB58D">
      <w:pPr>
        <w:pStyle w:val="3"/>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Cs w:val="24"/>
        </w:rPr>
      </w:pPr>
      <w:r>
        <w:rPr>
          <w:rFonts w:hint="eastAsia" w:ascii="仿宋_GB2312" w:hAnsi="仿宋_GB2312" w:eastAsia="仿宋_GB2312" w:cs="仿宋_GB2312"/>
          <w:kern w:val="2"/>
          <w:szCs w:val="24"/>
          <w:lang w:eastAsia="zh"/>
        </w:rPr>
        <w:t>2.</w:t>
      </w:r>
      <w:r>
        <w:rPr>
          <w:rFonts w:hint="eastAsia" w:ascii="仿宋_GB2312" w:hAnsi="仿宋_GB2312" w:eastAsia="仿宋_GB2312" w:cs="仿宋_GB2312"/>
          <w:kern w:val="2"/>
          <w:szCs w:val="24"/>
        </w:rPr>
        <w:t>报价人须将报价保证金存入以上账户，非报价人账户存入的，其报价文件不被采购人接受。采购人在与中选人签订书面合同后的30日内退还中选人及未中选人报价保证金（无息），采购人在中选单位不与采购人签订书面合同或签订书面合同过程中对项目实质性条款提出变更的，采购人有权按照项目评审排名选择与下一顺位报价人签订书面合同。</w:t>
      </w:r>
    </w:p>
    <w:p w14:paraId="477B81D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.发生下列情形之一的，</w:t>
      </w:r>
      <w:r>
        <w:rPr>
          <w:rFonts w:hint="eastAsia" w:ascii="仿宋_GB2312" w:hAnsi="仿宋_GB2312" w:eastAsia="仿宋_GB2312" w:cs="仿宋_GB2312"/>
          <w:sz w:val="24"/>
          <w:szCs w:val="24"/>
          <w:lang w:val="en-US" w:eastAsia="zh"/>
        </w:rPr>
        <w:t>采购</w:t>
      </w:r>
      <w:r>
        <w:rPr>
          <w:rFonts w:hint="eastAsia" w:ascii="仿宋_GB2312" w:hAnsi="仿宋_GB2312" w:eastAsia="仿宋_GB2312" w:cs="仿宋_GB2312"/>
          <w:sz w:val="24"/>
          <w:szCs w:val="24"/>
          <w:lang w:val="en-US" w:eastAsia="zh-CN"/>
        </w:rPr>
        <w:t>人有权取消其中选资格（已签订书面合同的，采购人有权单方解除合同），已收取的报价保证金不予退还：</w:t>
      </w:r>
    </w:p>
    <w:p w14:paraId="450204F0">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.1中选人在采购人发出中选通知书之日起30日内未按照竞争性谈判文件实质性内容与采购人签订合同；</w:t>
      </w:r>
    </w:p>
    <w:p w14:paraId="29AABAD2">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.2中选人因自身原因放弃中选资格的；</w:t>
      </w:r>
    </w:p>
    <w:p w14:paraId="60E03E22">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.3中选人未按照竞争性谈判文件要求向采购人缴纳履约保证金的；</w:t>
      </w:r>
    </w:p>
    <w:p w14:paraId="30C62E3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.4报价人违反竞争性谈判文件规定的报价纪律的。</w:t>
      </w:r>
    </w:p>
    <w:p w14:paraId="77F08511">
      <w:pPr>
        <w:pStyle w:val="3"/>
        <w:keepNext w:val="0"/>
        <w:keepLines w:val="0"/>
        <w:pageBreakBefore w:val="0"/>
        <w:widowControl w:val="0"/>
        <w:numPr>
          <w:ilvl w:val="0"/>
          <w:numId w:val="0"/>
        </w:numPr>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szCs w:val="24"/>
          <w:lang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rPr>
        <w:t>项目说明</w:t>
      </w:r>
      <w:r>
        <w:rPr>
          <w:rFonts w:hint="eastAsia" w:ascii="仿宋_GB2312" w:hAnsi="仿宋_GB2312" w:eastAsia="仿宋_GB2312" w:cs="仿宋_GB2312"/>
          <w:b/>
          <w:bCs/>
          <w:sz w:val="24"/>
          <w:szCs w:val="24"/>
          <w:lang w:eastAsia="zh-CN"/>
        </w:rPr>
        <w:t>（实质性条款）</w:t>
      </w:r>
    </w:p>
    <w:p w14:paraId="499BD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1.付款方式：</w:t>
      </w:r>
    </w:p>
    <w:p w14:paraId="55F452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1.1合同签订后，乙方向甲方提交合同含税总金额10%的收据后，甲方向乙方支付相应金额的预付款（预付款中包含安全文明施工费）；</w:t>
      </w:r>
    </w:p>
    <w:p w14:paraId="644A11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本项目竣工验收并通过甲方审核后，乙方向甲方提交付款申请和《有关按时支付项目工资、劳务费等费用的承诺书》（详见附件）并开具合同金额100%的增值税专用发票后30日内，甲方向乙方支付至合同含税总金额的100%；</w:t>
      </w:r>
    </w:p>
    <w:p w14:paraId="5387DA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1.3甲方向乙方支付相应价款时，有权扣除乙方被甲方考核的费用。</w:t>
      </w:r>
    </w:p>
    <w:p w14:paraId="7E52A3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本项目涉及施工费、转运、人工费、方案费、措施费、</w:t>
      </w:r>
      <w:r>
        <w:rPr>
          <w:rFonts w:hint="eastAsia" w:ascii="仿宋_GB2312" w:hAnsi="仿宋_GB2312" w:eastAsia="仿宋_GB2312" w:cs="仿宋_GB2312"/>
          <w:sz w:val="24"/>
          <w:szCs w:val="24"/>
          <w:lang w:eastAsia="zh"/>
        </w:rPr>
        <w:t>交通</w:t>
      </w:r>
      <w:r>
        <w:rPr>
          <w:rFonts w:hint="eastAsia" w:ascii="仿宋_GB2312" w:hAnsi="仿宋_GB2312" w:eastAsia="仿宋_GB2312" w:cs="仿宋_GB2312"/>
          <w:sz w:val="24"/>
          <w:szCs w:val="24"/>
          <w:lang w:eastAsia="zh-CN"/>
        </w:rPr>
        <w:t>费、管理费、利润、保险费、安全生产费、职业病预防治费、风险费以及其他政策性文件规定的费用、进场费等完成本项目全部工作所需的全部费用均包含在“</w:t>
      </w:r>
      <w:r>
        <w:rPr>
          <w:rFonts w:hint="eastAsia" w:ascii="仿宋_GB2312" w:hAnsi="仿宋_GB2312" w:eastAsia="仿宋_GB2312" w:cs="仿宋_GB2312"/>
          <w:b w:val="0"/>
          <w:bCs/>
          <w:sz w:val="24"/>
          <w:lang w:eastAsia="zh-CN"/>
        </w:rPr>
        <w:t>综合含税总价</w:t>
      </w:r>
      <w:r>
        <w:rPr>
          <w:rFonts w:hint="eastAsia" w:ascii="仿宋_GB2312" w:hAnsi="仿宋_GB2312" w:eastAsia="仿宋_GB2312" w:cs="仿宋_GB2312"/>
          <w:sz w:val="24"/>
          <w:szCs w:val="24"/>
          <w:lang w:eastAsia="zh-CN"/>
        </w:rPr>
        <w:t>”金额里（采购人提供本项目所需脚手架搭设及</w:t>
      </w:r>
      <w:r>
        <w:rPr>
          <w:rFonts w:hint="eastAsia" w:ascii="仿宋_GB2312" w:hAnsi="仿宋_GB2312" w:eastAsia="仿宋_GB2312" w:cs="仿宋_GB2312"/>
          <w:sz w:val="24"/>
        </w:rPr>
        <w:t>支吊架调整备件材料</w:t>
      </w:r>
      <w:r>
        <w:rPr>
          <w:rFonts w:hint="eastAsia" w:ascii="仿宋_GB2312" w:hAnsi="仿宋_GB2312" w:eastAsia="仿宋_GB2312" w:cs="仿宋_GB2312"/>
          <w:sz w:val="24"/>
          <w:szCs w:val="24"/>
          <w:lang w:eastAsia="zh-CN"/>
        </w:rPr>
        <w:t>）。</w:t>
      </w:r>
    </w:p>
    <w:p w14:paraId="1472EE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乙方派驻甲方现场的所有人员的食宿由其自行解决，相关费用由乙方承担。</w:t>
      </w:r>
    </w:p>
    <w:p w14:paraId="00BFB3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乙方派驻甲方现场所有人员均身体健康，出现任何事宜，乙方将承担相应责任及后果。</w:t>
      </w:r>
    </w:p>
    <w:p w14:paraId="0E4936C1">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三、</w:t>
      </w:r>
      <w:r>
        <w:rPr>
          <w:rFonts w:hint="eastAsia" w:ascii="仿宋_GB2312" w:hAnsi="仿宋_GB2312" w:eastAsia="仿宋_GB2312" w:cs="仿宋_GB2312"/>
          <w:b/>
          <w:bCs/>
          <w:sz w:val="24"/>
          <w:szCs w:val="24"/>
        </w:rPr>
        <w:t>项目要求</w:t>
      </w:r>
      <w:r>
        <w:rPr>
          <w:rFonts w:hint="eastAsia" w:ascii="仿宋_GB2312" w:hAnsi="仿宋_GB2312" w:eastAsia="仿宋_GB2312" w:cs="仿宋_GB2312"/>
          <w:b/>
          <w:bCs/>
          <w:sz w:val="24"/>
          <w:szCs w:val="24"/>
          <w:lang w:eastAsia="zh-CN"/>
        </w:rPr>
        <w:t>（实质性条款）</w:t>
      </w:r>
    </w:p>
    <w:p w14:paraId="04F8D1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ins w:id="0" w:author="王艺源" w:date="2025-04-22T22:28:13Z"/>
          <w:rFonts w:hint="eastAsia" w:ascii="仿宋_GB2312" w:hAnsi="仿宋_GB2312" w:eastAsia="仿宋_GB2312" w:cs="仿宋_GB2312"/>
          <w:sz w:val="24"/>
          <w:szCs w:val="24"/>
          <w:lang w:val="en-US" w:eastAsia="zh"/>
          <w:woUserID w:val="1"/>
        </w:rPr>
      </w:pPr>
      <w:r>
        <w:rPr>
          <w:rFonts w:hint="eastAsia" w:ascii="仿宋_GB2312" w:hAnsi="仿宋_GB2312" w:eastAsia="仿宋_GB2312" w:cs="仿宋_GB2312"/>
          <w:sz w:val="24"/>
          <w:szCs w:val="24"/>
          <w:lang w:val="en-US" w:eastAsia="zh-CN"/>
        </w:rPr>
        <w:t>1.</w:t>
      </w:r>
      <w:ins w:id="1" w:author="王艺源" w:date="2025-04-22T22:28:11Z">
        <w:r>
          <w:rPr>
            <w:rFonts w:hint="eastAsia" w:ascii="仿宋_GB2312" w:hAnsi="仿宋_GB2312" w:eastAsia="仿宋_GB2312" w:cs="仿宋_GB2312"/>
            <w:sz w:val="24"/>
            <w:szCs w:val="24"/>
            <w:lang w:val="en-US" w:eastAsia="zh"/>
            <w:woUserID w:val="1"/>
          </w:rPr>
          <w:t>工期</w:t>
        </w:r>
      </w:ins>
      <w:ins w:id="2" w:author="王艺源" w:date="2025-04-22T22:28:12Z">
        <w:r>
          <w:rPr>
            <w:rFonts w:hint="eastAsia" w:ascii="仿宋_GB2312" w:hAnsi="仿宋_GB2312" w:eastAsia="仿宋_GB2312" w:cs="仿宋_GB2312"/>
            <w:sz w:val="24"/>
            <w:szCs w:val="24"/>
            <w:lang w:val="en-US" w:eastAsia="zh"/>
            <w:woUserID w:val="1"/>
          </w:rPr>
          <w:t>：</w:t>
        </w:r>
      </w:ins>
      <w:ins w:id="3" w:author="王艺源" w:date="2025-04-22T22:28:23Z">
        <w:r>
          <w:rPr>
            <w:rFonts w:hint="eastAsia" w:ascii="仿宋_GB2312" w:hAnsi="仿宋_GB2312" w:eastAsia="仿宋_GB2312" w:cs="仿宋_GB2312"/>
            <w:sz w:val="24"/>
            <w:szCs w:val="24"/>
            <w:lang w:val="en-US" w:eastAsia="zh"/>
            <w:woUserID w:val="1"/>
          </w:rPr>
          <w:t>本项目#1机组调整工作需在2025年5月10前完成，#2机组调整工作工期视甲方#2启停机调度计划确定，乙方须满足甲方对工期及人员的要求。</w:t>
        </w:r>
      </w:ins>
    </w:p>
    <w:p w14:paraId="7086B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eastAsia="zh-CN"/>
        </w:rPr>
      </w:pPr>
      <w:ins w:id="4" w:author="王艺源" w:date="2025-04-22T22:28:16Z">
        <w:r>
          <w:rPr>
            <w:rFonts w:hint="eastAsia" w:ascii="仿宋_GB2312" w:hAnsi="仿宋_GB2312" w:eastAsia="仿宋_GB2312" w:cs="仿宋_GB2312"/>
            <w:sz w:val="24"/>
            <w:szCs w:val="24"/>
            <w:lang w:val="en-US" w:eastAsia="zh"/>
            <w:woUserID w:val="1"/>
          </w:rPr>
          <w:t>2.</w:t>
        </w:r>
      </w:ins>
      <w:ins w:id="5" w:author="王艺源" w:date="2025-04-22T22:28:42Z">
        <w:r>
          <w:rPr>
            <w:rFonts w:hint="eastAsia" w:ascii="仿宋_GB2312" w:hAnsi="仿宋_GB2312" w:eastAsia="仿宋_GB2312" w:cs="仿宋_GB2312"/>
            <w:sz w:val="24"/>
            <w:szCs w:val="24"/>
            <w:lang w:val="en-US" w:eastAsia="zh-CN"/>
            <w:woUserID w:val="1"/>
          </w:rPr>
          <w:t>工作要求</w:t>
        </w:r>
      </w:ins>
      <w:ins w:id="6" w:author="王艺源" w:date="2025-04-22T22:28:44Z">
        <w:r>
          <w:rPr>
            <w:rFonts w:hint="eastAsia" w:ascii="仿宋_GB2312" w:hAnsi="仿宋_GB2312" w:eastAsia="仿宋_GB2312" w:cs="仿宋_GB2312"/>
            <w:sz w:val="24"/>
            <w:szCs w:val="24"/>
            <w:lang w:val="en-US" w:eastAsia="zh"/>
            <w:woUserID w:val="1"/>
          </w:rPr>
          <w:t>：</w:t>
        </w:r>
      </w:ins>
      <w:ins w:id="7" w:author="王艺源" w:date="2025-04-22T22:29:05Z">
        <w:r>
          <w:rPr>
            <w:rFonts w:hint="eastAsia" w:ascii="仿宋_GB2312" w:hAnsi="仿宋_GB2312" w:eastAsia="仿宋_GB2312" w:cs="仿宋_GB2312"/>
            <w:sz w:val="24"/>
            <w:szCs w:val="24"/>
            <w:lang w:val="en-US" w:eastAsia="zh"/>
            <w:woUserID w:val="1"/>
          </w:rPr>
          <w:t>乙方派驻甲方施工的人员要满足应急局关于特种作业人员的要求,总人数应不少于8人，其中焊工不少于2人，乙方须满足甲方对工期及人员的要求，调整后的支吊架质量需满足DL/T 616-2023 火力发电厂汽水管道与支吊架维修调整导则的要求</w:t>
        </w:r>
      </w:ins>
      <w:r>
        <w:rPr>
          <w:rFonts w:hint="eastAsia" w:ascii="仿宋_GB2312" w:hAnsi="仿宋_GB2312" w:eastAsia="仿宋_GB2312" w:cs="仿宋_GB2312"/>
          <w:sz w:val="24"/>
          <w:szCs w:val="24"/>
          <w:lang w:eastAsia="zh-CN"/>
        </w:rPr>
        <w:t>。</w:t>
      </w:r>
    </w:p>
    <w:p w14:paraId="2AD14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sz w:val="24"/>
          <w:szCs w:val="24"/>
          <w:lang w:val="en-US" w:eastAsia="zh"/>
        </w:rPr>
      </w:pPr>
      <w:ins w:id="8" w:author="王艺源" w:date="2025-04-22T22:29:37Z">
        <w:r>
          <w:rPr>
            <w:rFonts w:hint="eastAsia" w:ascii="仿宋_GB2312" w:hAnsi="仿宋_GB2312" w:eastAsia="仿宋_GB2312" w:cs="仿宋_GB2312"/>
            <w:sz w:val="24"/>
            <w:szCs w:val="24"/>
            <w:lang w:val="en-US" w:eastAsia="zh"/>
            <w:woUserID w:val="1"/>
          </w:rPr>
          <w:t>3</w:t>
        </w:r>
      </w:ins>
      <w:del w:id="9" w:author="王艺源" w:date="2025-04-22T22:29:37Z">
        <w:r>
          <w:rPr>
            <w:rFonts w:hint="eastAsia" w:ascii="仿宋_GB2312" w:hAnsi="仿宋_GB2312" w:eastAsia="仿宋_GB2312" w:cs="仿宋_GB2312"/>
            <w:sz w:val="24"/>
            <w:szCs w:val="24"/>
            <w:lang w:val="en-US" w:eastAsia="zh-CN"/>
          </w:rPr>
          <w:delText>2</w:delText>
        </w:r>
      </w:del>
      <w:r>
        <w:rPr>
          <w:rFonts w:hint="eastAsia" w:ascii="仿宋_GB2312" w:hAnsi="仿宋_GB2312" w:eastAsia="仿宋_GB2312" w:cs="仿宋_GB2312"/>
          <w:sz w:val="24"/>
          <w:szCs w:val="24"/>
          <w:lang w:val="en-US" w:eastAsia="zh-CN"/>
        </w:rPr>
        <w:t>.工作范围</w:t>
      </w:r>
      <w:del w:id="10" w:author="王艺源" w:date="2025-04-22T22:29:10Z">
        <w:r>
          <w:rPr>
            <w:rFonts w:hint="eastAsia" w:ascii="仿宋_GB2312" w:hAnsi="仿宋_GB2312" w:eastAsia="仿宋_GB2312" w:cs="仿宋_GB2312"/>
            <w:sz w:val="24"/>
            <w:szCs w:val="24"/>
            <w:lang w:val="en-US" w:eastAsia="zh-CN"/>
          </w:rPr>
          <w:delText>及</w:delText>
        </w:r>
      </w:del>
      <w:del w:id="11" w:author="王艺源" w:date="2025-04-22T22:28:39Z">
        <w:r>
          <w:rPr>
            <w:rFonts w:hint="eastAsia" w:ascii="仿宋_GB2312" w:hAnsi="仿宋_GB2312" w:eastAsia="仿宋_GB2312" w:cs="仿宋_GB2312"/>
            <w:sz w:val="24"/>
            <w:szCs w:val="24"/>
            <w:lang w:val="en-US" w:eastAsia="zh-CN"/>
          </w:rPr>
          <w:delText>工作要求</w:delText>
        </w:r>
      </w:del>
      <w:r>
        <w:rPr>
          <w:rFonts w:hint="eastAsia" w:ascii="仿宋_GB2312" w:hAnsi="仿宋_GB2312" w:eastAsia="仿宋_GB2312" w:cs="仿宋_GB2312"/>
          <w:sz w:val="24"/>
          <w:szCs w:val="24"/>
          <w:lang w:val="en-US" w:eastAsia="zh-CN"/>
        </w:rPr>
        <w:t>：</w:t>
      </w:r>
      <w:ins w:id="12" w:author="王艺源" w:date="2025-04-22T22:29:25Z">
        <w:r>
          <w:rPr>
            <w:rFonts w:hint="eastAsia" w:ascii="仿宋_GB2312" w:hAnsi="仿宋_GB2312" w:eastAsia="仿宋_GB2312" w:cs="仿宋_GB2312"/>
            <w:sz w:val="24"/>
            <w:szCs w:val="24"/>
            <w:lang w:val="en-US" w:eastAsia="zh-CN"/>
            <w:woUserID w:val="1"/>
          </w:rPr>
          <w:t>乙方对甲方共计157组支吊架进行调整施工，其中#1机组有95组支吊架需要进行调整，42组支吊架需冷态再次核验后调整，共计137组，具体详见《1号机组汽水管道支吊架调整工作量统计表》（未明确调整部位的工作量可参考表格中已明确的内容执行）；#2机组有20组炉顶吊架需要调整，待#2机组停机检查后明确调整内容。甲方负责脚手架的搭设及提供支吊架调整备件材料</w:t>
        </w:r>
      </w:ins>
      <w:r>
        <w:rPr>
          <w:rFonts w:hint="eastAsia" w:ascii="仿宋_GB2312" w:eastAsia="仿宋_GB2312" w:cs="仿宋_GB2312"/>
          <w:sz w:val="24"/>
          <w:lang w:bidi="ar"/>
        </w:rPr>
        <w:t>。</w:t>
      </w:r>
    </w:p>
    <w:p w14:paraId="43495C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ins w:id="13" w:author="王艺源" w:date="2025-04-22T22:29:39Z">
        <w:r>
          <w:rPr>
            <w:rFonts w:hint="eastAsia" w:ascii="仿宋_GB2312" w:hAnsi="仿宋_GB2312" w:eastAsia="仿宋_GB2312" w:cs="仿宋_GB2312"/>
            <w:sz w:val="24"/>
            <w:szCs w:val="24"/>
            <w:lang w:val="en-US" w:eastAsia="zh"/>
            <w:woUserID w:val="1"/>
          </w:rPr>
          <w:t>4</w:t>
        </w:r>
      </w:ins>
      <w:del w:id="14" w:author="王艺源" w:date="2025-04-22T22:29:39Z">
        <w:r>
          <w:rPr>
            <w:rFonts w:hint="eastAsia" w:ascii="仿宋_GB2312" w:hAnsi="仿宋_GB2312" w:eastAsia="仿宋_GB2312" w:cs="仿宋_GB2312"/>
            <w:sz w:val="24"/>
            <w:szCs w:val="24"/>
            <w:lang w:val="en-US" w:eastAsia="zh-CN"/>
          </w:rPr>
          <w:delText>3</w:delText>
        </w:r>
      </w:del>
      <w:r>
        <w:rPr>
          <w:rFonts w:hint="eastAsia" w:ascii="仿宋_GB2312" w:hAnsi="仿宋_GB2312" w:eastAsia="仿宋_GB2312" w:cs="仿宋_GB2312"/>
          <w:sz w:val="24"/>
          <w:szCs w:val="24"/>
          <w:lang w:val="en-US" w:eastAsia="zh-CN"/>
        </w:rPr>
        <w:t>.乙方应知悉本项目存在的各种风险和甲方安全作业管理要求。对涉及电工作业、焊接与热切割作业、高处作业等特种作业的人员，应持有应急管理部门所发的《特种作业操作证》，对涉及特种设备操作的人员，应持有市场监督管理局所发的《特种设备作业人员证》，相关证书在有效期内。履行合同期间，应严格执行国家有关安全生产、环境保护、职业健康、水土保持等方面的有关法律法规、规定，应及时主动了解并应严格遵守甲方《安全管理协议》《环保管理协议》以及其他相关管理制度要求（包括甲方已发布和合同期内新发布的所有规章制度）。</w:t>
      </w:r>
    </w:p>
    <w:p w14:paraId="5407380D">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四</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履约保证金</w:t>
      </w:r>
    </w:p>
    <w:p w14:paraId="6ABD5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1.由中选人的报价保证金直接转为履约保证金。</w:t>
      </w:r>
    </w:p>
    <w:p w14:paraId="1F9D18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2.履约保证金退还：合同项目全部竣工</w:t>
      </w:r>
      <w:r>
        <w:rPr>
          <w:rFonts w:hint="eastAsia" w:ascii="仿宋_GB2312" w:hAnsi="仿宋_GB2312" w:eastAsia="仿宋_GB2312" w:cs="仿宋_GB2312"/>
          <w:sz w:val="24"/>
          <w:szCs w:val="24"/>
          <w:lang w:val="en-US" w:eastAsia="zh"/>
        </w:rPr>
        <w:t>并经甲方</w:t>
      </w:r>
      <w:r>
        <w:rPr>
          <w:rFonts w:hint="eastAsia" w:ascii="仿宋_GB2312" w:hAnsi="仿宋_GB2312" w:eastAsia="仿宋_GB2312" w:cs="仿宋_GB2312"/>
          <w:sz w:val="24"/>
          <w:szCs w:val="24"/>
          <w:lang w:val="en-US" w:eastAsia="zh-CN"/>
        </w:rPr>
        <w:t>验收通过，乙方提交的退还履约保证金申请及相应金额收据通过甲方审核后30日内，甲方向乙方退还通过甲方审核的履约保证金（无息）；但如还存在合同争端，则履约保证金的有效期应延长到上述争端最终解决且所有理赔完毕。</w:t>
      </w:r>
    </w:p>
    <w:p w14:paraId="0113ED52">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五</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eastAsia="zh-CN"/>
        </w:rPr>
        <w:t>违约责任（实质性条款）</w:t>
      </w:r>
    </w:p>
    <w:p w14:paraId="2D969B63">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1</w:t>
      </w:r>
      <w:r>
        <w:rPr>
          <w:rFonts w:hint="eastAsia" w:ascii="仿宋_GB2312" w:hAnsi="仿宋_GB2312" w:eastAsia="仿宋_GB2312" w:cs="仿宋_GB2312"/>
          <w:sz w:val="24"/>
          <w:szCs w:val="24"/>
          <w:lang w:val="en-US" w:eastAsia="zh-CN"/>
        </w:rPr>
        <w:t>.乙方未按照合同履行义务，给甲方造成损失的，乙方应承担损害赔偿责任。</w:t>
      </w:r>
    </w:p>
    <w:p w14:paraId="2FD7ACFF">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2</w:t>
      </w:r>
      <w:r>
        <w:rPr>
          <w:rFonts w:hint="eastAsia" w:ascii="仿宋_GB2312" w:hAnsi="仿宋_GB2312" w:eastAsia="仿宋_GB2312" w:cs="仿宋_GB2312"/>
          <w:sz w:val="24"/>
          <w:szCs w:val="24"/>
          <w:lang w:val="en-US" w:eastAsia="zh-CN"/>
        </w:rPr>
        <w:t>.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4497A0F2">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3</w:t>
      </w:r>
      <w:r>
        <w:rPr>
          <w:rFonts w:hint="eastAsia" w:ascii="仿宋_GB2312" w:hAnsi="仿宋_GB2312" w:eastAsia="仿宋_GB2312" w:cs="仿宋_GB2312"/>
          <w:sz w:val="24"/>
          <w:szCs w:val="24"/>
          <w:lang w:val="en-US" w:eastAsia="zh-CN"/>
        </w:rPr>
        <w:t>.若乙方委派人员的数量、技能、工器具等不能满足本项目要求或因劳动劳务纠纷、工资支付、社保缴纳等问题导致项目工作无法正常进行，乙方应按甲方要求及时整改，经甲方通知仍未整改的，甲方有权另行委托第三方与乙方一同完成本项目，甲方因此承担的一切费用由甲方从乙方合同结算费用中扣减，乙方无权对甲方委托的第三方和被扣减费用提出异议。</w:t>
      </w:r>
    </w:p>
    <w:p w14:paraId="175E8515">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4</w:t>
      </w:r>
      <w:r>
        <w:rPr>
          <w:rFonts w:hint="eastAsia" w:ascii="仿宋_GB2312" w:hAnsi="仿宋_GB2312" w:eastAsia="仿宋_GB2312" w:cs="仿宋_GB2312"/>
          <w:sz w:val="24"/>
          <w:szCs w:val="24"/>
          <w:lang w:val="en-US" w:eastAsia="zh-CN"/>
        </w:rPr>
        <w:t>.双方任何一方因安全管理不到位，或安全措施未正确完善执行，或人员违章，或环保措施未正确完善执行，或职业病防治设施投入不到位等原因于甲方生产现场发生人身、设备事故（含损坏设备事故），或职业病事故，或环保事故，事故责任由责任方承担，因此给非责任方造成的直接损失由责任方负责赔偿。如非责任方因此承担责任的，非责任方有权向责任方追偿。</w:t>
      </w:r>
    </w:p>
    <w:p w14:paraId="28B20C21">
      <w:pPr>
        <w:keepNext w:val="0"/>
        <w:keepLines w:val="0"/>
        <w:pageBreakBefore w:val="0"/>
        <w:widowControl w:val="0"/>
        <w:kinsoku/>
        <w:wordWrap/>
        <w:overflowPunct/>
        <w:topLinePunct w:val="0"/>
        <w:autoSpaceDE/>
        <w:autoSpaceDN/>
        <w:bidi w:val="0"/>
        <w:snapToGrid/>
        <w:spacing w:line="360" w:lineRule="auto"/>
        <w:ind w:firstLine="481"/>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
        </w:rPr>
        <w:t>5</w:t>
      </w:r>
      <w:r>
        <w:rPr>
          <w:rFonts w:hint="eastAsia" w:ascii="仿宋_GB2312" w:hAnsi="仿宋_GB2312" w:eastAsia="仿宋_GB2312" w:cs="仿宋_GB2312"/>
          <w:sz w:val="24"/>
          <w:szCs w:val="24"/>
          <w:lang w:val="en-US" w:eastAsia="zh-CN"/>
        </w:rPr>
        <w:t>.若本项目发生项目工作人员、劳务工讨薪情形，甲方有权将乙方列入甲方不合格供应商名单。</w:t>
      </w:r>
    </w:p>
    <w:p w14:paraId="5026A10B">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
        </w:rPr>
      </w:pPr>
      <w:r>
        <w:rPr>
          <w:rFonts w:hint="eastAsia" w:ascii="仿宋_GB2312" w:hAnsi="仿宋_GB2312" w:eastAsia="仿宋_GB2312" w:cs="仿宋_GB2312"/>
          <w:b/>
          <w:bCs/>
          <w:sz w:val="24"/>
          <w:szCs w:val="24"/>
          <w:lang w:eastAsia="zh-CN"/>
        </w:rPr>
        <w:t>六、</w:t>
      </w:r>
      <w:r>
        <w:rPr>
          <w:rFonts w:hint="eastAsia" w:ascii="仿宋_GB2312" w:hAnsi="仿宋_GB2312" w:eastAsia="仿宋_GB2312" w:cs="仿宋_GB2312"/>
          <w:b/>
          <w:bCs/>
          <w:sz w:val="24"/>
          <w:szCs w:val="24"/>
          <w:lang w:eastAsia="zh"/>
        </w:rPr>
        <w:t>合同解除</w:t>
      </w:r>
    </w:p>
    <w:p w14:paraId="2AA7C17C">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1. 因乙方原因导致合同解除的，甲方有权不退还其履约保证金，乙方未提交履约保证金的，甲方有权不退还其比选保证金。</w:t>
      </w:r>
    </w:p>
    <w:p w14:paraId="780F7374">
      <w:pPr>
        <w:keepNext w:val="0"/>
        <w:keepLines w:val="0"/>
        <w:pageBreakBefore w:val="0"/>
        <w:widowControl w:val="0"/>
        <w:kinsoku/>
        <w:wordWrap/>
        <w:overflowPunct/>
        <w:topLinePunct w:val="0"/>
        <w:autoSpaceDE w:val="0"/>
        <w:autoSpaceDN/>
        <w:bidi w:val="0"/>
        <w:snapToGrid/>
        <w:spacing w:line="480" w:lineRule="exact"/>
        <w:ind w:firstLine="480" w:firstLineChars="200"/>
        <w:rPr>
          <w:rFonts w:hint="eastAsia" w:ascii="仿宋_GB2312" w:hAnsi="仿宋_GB2312" w:eastAsia="仿宋_GB2312" w:cs="仿宋_GB2312"/>
          <w:b/>
          <w:bCs/>
          <w:sz w:val="24"/>
          <w:szCs w:val="24"/>
          <w:lang w:eastAsia="zh"/>
        </w:rPr>
      </w:pPr>
      <w:r>
        <w:rPr>
          <w:rFonts w:hint="eastAsia" w:ascii="仿宋_GB2312" w:hAnsi="Calibri" w:eastAsia="仿宋_GB2312" w:cs="仿宋_GB2312"/>
          <w:kern w:val="2"/>
          <w:sz w:val="24"/>
          <w:szCs w:val="24"/>
          <w:lang w:val="en-US" w:eastAsia="zh-CN" w:bidi="ar"/>
        </w:rPr>
        <w:t>2.甲乙双方应按照合同约定完全履行本合同约定的义务，若一方未履行本合同义务，出现《民法典》第563条规定的情形的，守约方有权解除本合同（合同自解除通知到达相对方经营场所之日起解除），违约方应当向守约方赔偿因此造成的经济损失。</w:t>
      </w:r>
    </w:p>
    <w:p w14:paraId="735D1350">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w:t>
      </w:r>
      <w:r>
        <w:rPr>
          <w:rFonts w:hint="eastAsia" w:ascii="仿宋_GB2312" w:hAnsi="仿宋_GB2312" w:eastAsia="仿宋_GB2312" w:cs="仿宋_GB2312"/>
          <w:b/>
          <w:bCs/>
          <w:sz w:val="24"/>
          <w:szCs w:val="24"/>
          <w:lang w:eastAsia="zh"/>
        </w:rPr>
        <w:t>、</w:t>
      </w:r>
      <w:r>
        <w:rPr>
          <w:rFonts w:hint="eastAsia" w:ascii="仿宋_GB2312" w:hAnsi="仿宋_GB2312" w:eastAsia="仿宋_GB2312" w:cs="仿宋_GB2312"/>
          <w:b/>
          <w:bCs/>
          <w:sz w:val="24"/>
          <w:szCs w:val="24"/>
          <w:lang w:eastAsia="zh-CN"/>
        </w:rPr>
        <w:t>报价、谈判纪律</w:t>
      </w:r>
    </w:p>
    <w:p w14:paraId="0961EA46">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0D0D1D48">
      <w:pPr>
        <w:keepNext w:val="0"/>
        <w:keepLines w:val="0"/>
        <w:pageBreakBefore w:val="0"/>
        <w:widowControl w:val="0"/>
        <w:kinsoku/>
        <w:wordWrap/>
        <w:overflowPunct/>
        <w:topLinePunct w:val="0"/>
        <w:autoSpaceDE/>
        <w:autoSpaceDN/>
        <w:bidi w:val="0"/>
        <w:snapToGrid/>
        <w:spacing w:line="360" w:lineRule="auto"/>
        <w:ind w:firstLine="481"/>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2.报价人只能通过竞争性谈判公告允许的方式向采购人送达报价文件，否则采购人有权不接受该报价。 </w:t>
      </w:r>
    </w:p>
    <w:p w14:paraId="7AFC78AA">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val="en-US" w:eastAsia="zh-CN"/>
        </w:rPr>
        <w:t>3.严禁报价人向采购人及其工作人员、同类项目单位及其工作人员以行贿的手段谋取中选。</w:t>
      </w:r>
    </w:p>
    <w:p w14:paraId="6FE26886">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6661E1C9">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54C52697">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21EE9C5B">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03B603B0">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412E6650">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5355D6C2">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6B416E25">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169758D7">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25C7163C">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仿宋_GB2312" w:hAnsi="仿宋_GB2312" w:eastAsia="仿宋_GB2312" w:cs="仿宋_GB2312"/>
          <w:b/>
          <w:bCs/>
          <w:color w:val="auto"/>
          <w:sz w:val="24"/>
          <w:szCs w:val="24"/>
          <w:highlight w:val="none"/>
          <w:lang w:eastAsia="zh-CN"/>
        </w:rPr>
      </w:pPr>
    </w:p>
    <w:p w14:paraId="6E25E3BC">
      <w:pPr>
        <w:pStyle w:val="4"/>
        <w:rPr>
          <w:rFonts w:hint="eastAsia" w:ascii="仿宋_GB2312" w:hAnsi="仿宋_GB2312" w:eastAsia="仿宋_GB2312" w:cs="仿宋_GB2312"/>
          <w:b/>
          <w:bCs/>
          <w:color w:val="auto"/>
          <w:sz w:val="24"/>
          <w:szCs w:val="24"/>
          <w:highlight w:val="none"/>
          <w:lang w:eastAsia="zh-CN"/>
        </w:rPr>
      </w:pPr>
    </w:p>
    <w:p w14:paraId="049162BA">
      <w:pPr>
        <w:rPr>
          <w:rFonts w:hint="eastAsia" w:ascii="仿宋_GB2312" w:hAnsi="仿宋_GB2312" w:eastAsia="仿宋_GB2312" w:cs="仿宋_GB2312"/>
          <w:b/>
          <w:bCs/>
          <w:color w:val="auto"/>
          <w:sz w:val="24"/>
          <w:szCs w:val="24"/>
          <w:highlight w:val="none"/>
          <w:lang w:eastAsia="zh-CN"/>
        </w:rPr>
      </w:pPr>
    </w:p>
    <w:p w14:paraId="2A051F8A">
      <w:pPr>
        <w:pStyle w:val="4"/>
        <w:rPr>
          <w:rFonts w:hint="eastAsia" w:ascii="仿宋_GB2312" w:hAnsi="仿宋_GB2312" w:eastAsia="仿宋_GB2312" w:cs="仿宋_GB2312"/>
          <w:b/>
          <w:bCs/>
          <w:color w:val="auto"/>
          <w:sz w:val="24"/>
          <w:szCs w:val="24"/>
          <w:highlight w:val="none"/>
          <w:lang w:eastAsia="zh-CN"/>
        </w:rPr>
      </w:pPr>
    </w:p>
    <w:p w14:paraId="52B8DE06">
      <w:pPr>
        <w:rPr>
          <w:rFonts w:hint="eastAsia" w:ascii="仿宋_GB2312" w:hAnsi="仿宋_GB2312" w:eastAsia="仿宋_GB2312" w:cs="仿宋_GB2312"/>
          <w:b/>
          <w:bCs/>
          <w:color w:val="auto"/>
          <w:sz w:val="24"/>
          <w:szCs w:val="24"/>
          <w:highlight w:val="none"/>
          <w:lang w:eastAsia="zh-CN"/>
        </w:rPr>
      </w:pPr>
    </w:p>
    <w:p w14:paraId="2CCEB434">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left"/>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仿宋_GB2312" w:hAnsi="仿宋_GB2312" w:eastAsia="仿宋_GB2312" w:cs="仿宋_GB2312"/>
          <w:b/>
          <w:bCs/>
          <w:color w:val="auto"/>
          <w:sz w:val="24"/>
          <w:szCs w:val="24"/>
          <w:highlight w:val="none"/>
          <w:lang w:eastAsia="zh-CN"/>
        </w:rPr>
        <w:t>附件：</w:t>
      </w:r>
    </w:p>
    <w:p w14:paraId="03358A43">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76" w:lineRule="exact"/>
        <w:jc w:val="center"/>
        <w:textAlignment w:val="auto"/>
        <w:outlineLvl w:val="1"/>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有关按时支付项目工资、劳务费</w:t>
      </w:r>
    </w:p>
    <w:p w14:paraId="23203448">
      <w:pPr>
        <w:keepNext/>
        <w:keepLines/>
        <w:widowControl w:val="0"/>
        <w:bidi w:val="0"/>
        <w:spacing w:beforeLines="0" w:beforeAutospacing="0" w:afterLines="0" w:afterAutospacing="0" w:line="576" w:lineRule="exact"/>
        <w:ind w:left="0" w:leftChars="0" w:firstLine="0" w:firstLineChars="0"/>
        <w:jc w:val="center"/>
        <w:outlineLvl w:val="0"/>
        <w:rPr>
          <w:rFonts w:hint="eastAsia" w:ascii="方正小标宋简体" w:hAnsi="方正小标宋简体" w:eastAsia="方正小标宋简体" w:cs="方正小标宋简体"/>
          <w:b w:val="0"/>
          <w:bCs w:val="0"/>
          <w:kern w:val="44"/>
          <w:sz w:val="44"/>
          <w:szCs w:val="44"/>
          <w:highlight w:val="none"/>
          <w:lang w:val="en-US" w:eastAsia="zh-CN" w:bidi="ar-SA"/>
        </w:rPr>
      </w:pPr>
      <w:r>
        <w:rPr>
          <w:rFonts w:hint="eastAsia" w:ascii="方正小标宋简体" w:hAnsi="方正小标宋简体" w:eastAsia="方正小标宋简体" w:cs="方正小标宋简体"/>
          <w:b w:val="0"/>
          <w:bCs w:val="0"/>
          <w:kern w:val="44"/>
          <w:sz w:val="44"/>
          <w:szCs w:val="44"/>
          <w:highlight w:val="none"/>
          <w:lang w:val="en-US" w:eastAsia="zh-CN" w:bidi="ar-SA"/>
        </w:rPr>
        <w:t>等费用的承诺书（模板）</w:t>
      </w:r>
    </w:p>
    <w:p w14:paraId="5CD59090">
      <w:pPr>
        <w:spacing w:line="240" w:lineRule="auto"/>
        <w:ind w:firstLine="0" w:firstLineChars="0"/>
        <w:rPr>
          <w:rFonts w:hint="eastAsia" w:ascii="仿宋_GB2312" w:hAnsi="仿宋_GB2312" w:eastAsia="仿宋_GB2312" w:cs="仿宋_GB2312"/>
          <w:sz w:val="32"/>
          <w:szCs w:val="32"/>
          <w:lang w:val="en-US" w:eastAsia="zh-CN"/>
        </w:rPr>
      </w:pPr>
    </w:p>
    <w:p w14:paraId="5CBB6954">
      <w:pPr>
        <w:spacing w:line="576"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四川泸州川南发电有限责任公司：</w:t>
      </w:r>
    </w:p>
    <w:p w14:paraId="3CA494F5">
      <w:pPr>
        <w:spacing w:line="576"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依据贵我双方签订的《XXX项目合同》（合同编号：XXX）约定，XXXX项目现已竣工并通过贵方验收，现我公司承诺我方将依法向本项目所涉及的项目工作人员、劳务人员按时足额支付工资、劳务费等费用，若上述人员因本项目发生讨薪情形的，由我公司承担全部责任。         </w:t>
      </w:r>
    </w:p>
    <w:p w14:paraId="3240ED38">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w:t>
      </w:r>
    </w:p>
    <w:p w14:paraId="65C7FEF9">
      <w:pPr>
        <w:spacing w:line="576" w:lineRule="exact"/>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XXXXX公司（盖公章）</w:t>
      </w:r>
    </w:p>
    <w:p w14:paraId="16341A77">
      <w:pPr>
        <w:pStyle w:val="10"/>
        <w:jc w:val="righ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 xml:space="preserve">                            年   月   日</w:t>
      </w:r>
    </w:p>
    <w:p w14:paraId="347C95D6">
      <w:pPr>
        <w:pStyle w:val="10"/>
        <w:jc w:val="right"/>
        <w:rPr>
          <w:rFonts w:hint="eastAsia" w:ascii="仿宋_GB2312" w:hAnsi="仿宋_GB2312" w:eastAsia="仿宋_GB2312" w:cs="仿宋_GB2312"/>
          <w:color w:val="auto"/>
          <w:sz w:val="24"/>
          <w:szCs w:val="24"/>
          <w:highlight w:val="none"/>
          <w:lang w:val="en-US" w:eastAsia="zh-CN"/>
        </w:rPr>
      </w:pPr>
    </w:p>
    <w:p w14:paraId="7B22970D">
      <w:pPr>
        <w:pStyle w:val="10"/>
        <w:jc w:val="right"/>
        <w:rPr>
          <w:rFonts w:hint="eastAsia" w:ascii="仿宋_GB2312" w:hAnsi="仿宋_GB2312" w:eastAsia="仿宋_GB2312" w:cs="仿宋_GB2312"/>
          <w:color w:val="auto"/>
          <w:sz w:val="24"/>
          <w:szCs w:val="24"/>
          <w:highlight w:val="none"/>
          <w:lang w:val="en-US" w:eastAsia="zh-CN"/>
        </w:rPr>
      </w:pPr>
    </w:p>
    <w:p w14:paraId="2AE1F4DD">
      <w:pPr>
        <w:pStyle w:val="10"/>
        <w:jc w:val="right"/>
        <w:rPr>
          <w:rFonts w:hint="eastAsia" w:ascii="仿宋_GB2312" w:hAnsi="仿宋_GB2312" w:eastAsia="仿宋_GB2312" w:cs="仿宋_GB2312"/>
          <w:color w:val="auto"/>
          <w:sz w:val="24"/>
          <w:szCs w:val="24"/>
          <w:highlight w:val="none"/>
          <w:lang w:val="en-US" w:eastAsia="zh-CN"/>
        </w:rPr>
      </w:pPr>
    </w:p>
    <w:p w14:paraId="197D3AF5">
      <w:pPr>
        <w:pStyle w:val="10"/>
        <w:jc w:val="right"/>
        <w:rPr>
          <w:rFonts w:hint="eastAsia" w:ascii="仿宋_GB2312" w:hAnsi="仿宋_GB2312" w:eastAsia="仿宋_GB2312" w:cs="仿宋_GB2312"/>
          <w:color w:val="auto"/>
          <w:sz w:val="24"/>
          <w:szCs w:val="24"/>
          <w:highlight w:val="none"/>
          <w:lang w:val="en-US" w:eastAsia="zh-CN"/>
        </w:rPr>
      </w:pPr>
    </w:p>
    <w:p w14:paraId="289947DA">
      <w:pPr>
        <w:pStyle w:val="10"/>
        <w:jc w:val="right"/>
        <w:rPr>
          <w:rFonts w:hint="eastAsia" w:ascii="仿宋_GB2312" w:hAnsi="仿宋_GB2312" w:eastAsia="仿宋_GB2312" w:cs="仿宋_GB2312"/>
          <w:color w:val="auto"/>
          <w:sz w:val="24"/>
          <w:szCs w:val="24"/>
          <w:highlight w:val="none"/>
          <w:lang w:val="en-US" w:eastAsia="zh-CN"/>
        </w:rPr>
      </w:pPr>
    </w:p>
    <w:p w14:paraId="319871BF">
      <w:pPr>
        <w:pStyle w:val="10"/>
        <w:jc w:val="right"/>
        <w:rPr>
          <w:rFonts w:hint="eastAsia" w:ascii="仿宋_GB2312" w:hAnsi="仿宋_GB2312" w:eastAsia="仿宋_GB2312" w:cs="仿宋_GB2312"/>
          <w:color w:val="auto"/>
          <w:sz w:val="24"/>
          <w:szCs w:val="24"/>
          <w:highlight w:val="none"/>
          <w:lang w:val="en-US" w:eastAsia="zh-CN"/>
        </w:rPr>
      </w:pPr>
    </w:p>
    <w:p w14:paraId="32F9EED5">
      <w:pPr>
        <w:pStyle w:val="10"/>
        <w:jc w:val="right"/>
        <w:rPr>
          <w:rFonts w:hint="eastAsia" w:ascii="仿宋_GB2312" w:hAnsi="仿宋_GB2312" w:eastAsia="仿宋_GB2312" w:cs="仿宋_GB2312"/>
          <w:color w:val="auto"/>
          <w:sz w:val="24"/>
          <w:szCs w:val="24"/>
          <w:highlight w:val="none"/>
          <w:lang w:val="en-US" w:eastAsia="zh-CN"/>
        </w:rPr>
      </w:pPr>
    </w:p>
    <w:p w14:paraId="0D9AB3A4">
      <w:pPr>
        <w:pStyle w:val="10"/>
        <w:jc w:val="right"/>
        <w:rPr>
          <w:rFonts w:hint="eastAsia" w:ascii="仿宋_GB2312" w:hAnsi="仿宋_GB2312" w:eastAsia="仿宋_GB2312" w:cs="仿宋_GB2312"/>
          <w:color w:val="auto"/>
          <w:sz w:val="24"/>
          <w:szCs w:val="24"/>
          <w:highlight w:val="none"/>
          <w:lang w:val="en-US" w:eastAsia="zh-CN"/>
        </w:rPr>
      </w:pPr>
    </w:p>
    <w:p w14:paraId="32A5D571">
      <w:pPr>
        <w:pStyle w:val="10"/>
        <w:jc w:val="right"/>
        <w:rPr>
          <w:rFonts w:hint="eastAsia" w:ascii="仿宋_GB2312" w:hAnsi="仿宋_GB2312" w:eastAsia="仿宋_GB2312" w:cs="仿宋_GB2312"/>
          <w:color w:val="auto"/>
          <w:sz w:val="24"/>
          <w:szCs w:val="24"/>
          <w:highlight w:val="none"/>
          <w:lang w:val="en-US" w:eastAsia="zh-CN"/>
        </w:rPr>
      </w:pPr>
    </w:p>
    <w:p w14:paraId="60CA74F9">
      <w:pPr>
        <w:pStyle w:val="10"/>
        <w:jc w:val="right"/>
        <w:rPr>
          <w:rFonts w:hint="eastAsia" w:ascii="仿宋_GB2312" w:hAnsi="仿宋_GB2312" w:eastAsia="仿宋_GB2312" w:cs="仿宋_GB2312"/>
          <w:color w:val="auto"/>
          <w:sz w:val="24"/>
          <w:szCs w:val="24"/>
          <w:highlight w:val="none"/>
          <w:lang w:val="en-US" w:eastAsia="zh-CN"/>
        </w:rPr>
      </w:pPr>
    </w:p>
    <w:p w14:paraId="5AFB2331">
      <w:pPr>
        <w:pStyle w:val="10"/>
        <w:jc w:val="right"/>
        <w:rPr>
          <w:rFonts w:hint="eastAsia" w:ascii="仿宋_GB2312" w:hAnsi="仿宋_GB2312" w:eastAsia="仿宋_GB2312" w:cs="仿宋_GB2312"/>
          <w:color w:val="auto"/>
          <w:sz w:val="24"/>
          <w:szCs w:val="24"/>
          <w:highlight w:val="none"/>
          <w:lang w:val="en-US" w:eastAsia="zh-CN"/>
        </w:rPr>
      </w:pPr>
    </w:p>
    <w:p w14:paraId="7B08FF7D">
      <w:pPr>
        <w:pStyle w:val="10"/>
        <w:jc w:val="right"/>
        <w:rPr>
          <w:rFonts w:hint="eastAsia" w:ascii="仿宋_GB2312" w:hAnsi="仿宋_GB2312" w:eastAsia="仿宋_GB2312" w:cs="仿宋_GB2312"/>
          <w:color w:val="auto"/>
          <w:sz w:val="24"/>
          <w:szCs w:val="24"/>
          <w:highlight w:val="none"/>
          <w:lang w:val="en-US" w:eastAsia="zh-CN"/>
        </w:rPr>
      </w:pPr>
    </w:p>
    <w:p w14:paraId="45D9D3A1">
      <w:pPr>
        <w:pStyle w:val="10"/>
        <w:jc w:val="right"/>
        <w:rPr>
          <w:rFonts w:hint="eastAsia" w:ascii="仿宋_GB2312" w:hAnsi="仿宋_GB2312" w:eastAsia="仿宋_GB2312" w:cs="仿宋_GB2312"/>
          <w:color w:val="auto"/>
          <w:sz w:val="24"/>
          <w:szCs w:val="24"/>
          <w:highlight w:val="none"/>
          <w:lang w:val="en-US" w:eastAsia="zh-CN"/>
        </w:rPr>
      </w:pPr>
    </w:p>
    <w:p w14:paraId="57AB033B">
      <w:pPr>
        <w:pStyle w:val="10"/>
        <w:jc w:val="right"/>
        <w:rPr>
          <w:rFonts w:hint="eastAsia" w:ascii="仿宋_GB2312" w:hAnsi="仿宋_GB2312" w:eastAsia="仿宋_GB2312" w:cs="仿宋_GB2312"/>
          <w:color w:val="auto"/>
          <w:sz w:val="24"/>
          <w:szCs w:val="24"/>
          <w:highlight w:val="none"/>
          <w:lang w:val="en-US" w:eastAsia="zh-CN"/>
        </w:rPr>
      </w:pPr>
    </w:p>
    <w:p w14:paraId="6610B040">
      <w:pPr>
        <w:pStyle w:val="10"/>
        <w:jc w:val="right"/>
        <w:rPr>
          <w:rFonts w:hint="eastAsia" w:ascii="仿宋_GB2312" w:hAnsi="仿宋_GB2312" w:eastAsia="仿宋_GB2312" w:cs="仿宋_GB2312"/>
          <w:color w:val="auto"/>
          <w:sz w:val="24"/>
          <w:szCs w:val="24"/>
          <w:highlight w:val="none"/>
          <w:lang w:val="en-US" w:eastAsia="zh-CN"/>
        </w:rPr>
      </w:pPr>
    </w:p>
    <w:p w14:paraId="7E44B10E">
      <w:pPr>
        <w:pStyle w:val="10"/>
        <w:jc w:val="right"/>
        <w:rPr>
          <w:rFonts w:hint="eastAsia" w:ascii="仿宋_GB2312" w:hAnsi="仿宋_GB2312" w:eastAsia="仿宋_GB2312" w:cs="仿宋_GB2312"/>
          <w:color w:val="auto"/>
          <w:sz w:val="24"/>
          <w:szCs w:val="24"/>
          <w:highlight w:val="none"/>
          <w:lang w:val="en-US" w:eastAsia="zh-CN"/>
        </w:rPr>
      </w:pPr>
    </w:p>
    <w:p w14:paraId="684E2D75">
      <w:pPr>
        <w:pStyle w:val="10"/>
        <w:jc w:val="right"/>
        <w:rPr>
          <w:rFonts w:hint="eastAsia" w:ascii="仿宋_GB2312" w:hAnsi="仿宋_GB2312" w:eastAsia="仿宋_GB2312" w:cs="仿宋_GB2312"/>
          <w:color w:val="auto"/>
          <w:sz w:val="24"/>
          <w:szCs w:val="24"/>
          <w:highlight w:val="none"/>
          <w:lang w:val="en-US" w:eastAsia="zh-CN"/>
        </w:rPr>
      </w:pPr>
    </w:p>
    <w:p w14:paraId="502E2D90">
      <w:pPr>
        <w:pStyle w:val="10"/>
        <w:jc w:val="right"/>
        <w:rPr>
          <w:rFonts w:hint="eastAsia" w:ascii="仿宋_GB2312" w:hAnsi="仿宋_GB2312" w:eastAsia="仿宋_GB2312" w:cs="仿宋_GB2312"/>
          <w:color w:val="auto"/>
          <w:sz w:val="24"/>
          <w:szCs w:val="24"/>
          <w:highlight w:val="none"/>
          <w:lang w:val="en-US" w:eastAsia="zh-CN"/>
        </w:rPr>
      </w:pPr>
    </w:p>
    <w:p w14:paraId="3893B27A">
      <w:pPr>
        <w:pStyle w:val="10"/>
        <w:jc w:val="right"/>
        <w:rPr>
          <w:rFonts w:hint="eastAsia" w:ascii="仿宋_GB2312" w:hAnsi="仿宋_GB2312" w:eastAsia="仿宋_GB2312" w:cs="仿宋_GB2312"/>
          <w:color w:val="auto"/>
          <w:sz w:val="24"/>
          <w:szCs w:val="24"/>
          <w:highlight w:val="none"/>
          <w:lang w:val="en-US" w:eastAsia="zh-CN"/>
        </w:rPr>
      </w:pPr>
    </w:p>
    <w:p w14:paraId="04114583">
      <w:pPr>
        <w:pStyle w:val="10"/>
        <w:jc w:val="right"/>
        <w:rPr>
          <w:rFonts w:hint="eastAsia" w:ascii="仿宋_GB2312" w:hAnsi="仿宋_GB2312" w:eastAsia="仿宋_GB2312" w:cs="仿宋_GB2312"/>
          <w:color w:val="auto"/>
          <w:sz w:val="24"/>
          <w:szCs w:val="24"/>
          <w:highlight w:val="none"/>
          <w:lang w:val="en-US" w:eastAsia="zh-CN"/>
        </w:rPr>
      </w:pPr>
    </w:p>
    <w:p w14:paraId="23DEC8A9">
      <w:pPr>
        <w:pStyle w:val="10"/>
        <w:jc w:val="right"/>
        <w:rPr>
          <w:rFonts w:hint="eastAsia" w:ascii="仿宋_GB2312" w:hAnsi="仿宋_GB2312" w:eastAsia="仿宋_GB2312" w:cs="仿宋_GB2312"/>
          <w:color w:val="auto"/>
          <w:sz w:val="24"/>
          <w:szCs w:val="24"/>
          <w:highlight w:val="none"/>
          <w:lang w:val="en-US" w:eastAsia="zh-CN"/>
        </w:rPr>
      </w:pPr>
    </w:p>
    <w:p w14:paraId="7860ECC3">
      <w:pPr>
        <w:pStyle w:val="10"/>
        <w:jc w:val="right"/>
        <w:rPr>
          <w:rFonts w:hint="eastAsia" w:ascii="仿宋_GB2312" w:hAnsi="仿宋_GB2312" w:eastAsia="仿宋_GB2312" w:cs="仿宋_GB2312"/>
          <w:color w:val="auto"/>
          <w:sz w:val="24"/>
          <w:szCs w:val="24"/>
          <w:highlight w:val="none"/>
          <w:lang w:val="en-US" w:eastAsia="zh-CN"/>
        </w:rPr>
      </w:pPr>
    </w:p>
    <w:p w14:paraId="10AA0974">
      <w:pPr>
        <w:pStyle w:val="10"/>
        <w:jc w:val="right"/>
        <w:rPr>
          <w:rFonts w:hint="eastAsia" w:ascii="仿宋_GB2312" w:hAnsi="仿宋_GB2312" w:eastAsia="仿宋_GB2312" w:cs="仿宋_GB2312"/>
          <w:color w:val="auto"/>
          <w:sz w:val="24"/>
          <w:szCs w:val="24"/>
          <w:highlight w:val="none"/>
          <w:lang w:val="en-US" w:eastAsia="zh-CN"/>
        </w:rPr>
      </w:pPr>
    </w:p>
    <w:p w14:paraId="7AB4F817">
      <w:pPr>
        <w:pStyle w:val="10"/>
        <w:jc w:val="right"/>
        <w:rPr>
          <w:rFonts w:hint="eastAsia" w:ascii="仿宋_GB2312" w:hAnsi="仿宋_GB2312" w:eastAsia="仿宋_GB2312" w:cs="仿宋_GB2312"/>
          <w:color w:val="auto"/>
          <w:sz w:val="24"/>
          <w:szCs w:val="24"/>
          <w:highlight w:val="none"/>
          <w:lang w:val="en-US" w:eastAsia="zh-CN"/>
        </w:rPr>
      </w:pPr>
    </w:p>
    <w:p w14:paraId="6B2CC1EA">
      <w:pPr>
        <w:pStyle w:val="10"/>
        <w:jc w:val="right"/>
        <w:rPr>
          <w:rFonts w:hint="eastAsia" w:ascii="仿宋_GB2312" w:hAnsi="仿宋_GB2312" w:eastAsia="仿宋_GB2312" w:cs="仿宋_GB2312"/>
          <w:color w:val="auto"/>
          <w:sz w:val="24"/>
          <w:szCs w:val="24"/>
          <w:highlight w:val="none"/>
          <w:lang w:val="en-US" w:eastAsia="zh-CN"/>
        </w:rPr>
      </w:pPr>
    </w:p>
    <w:p w14:paraId="4F04A562">
      <w:pPr>
        <w:pStyle w:val="10"/>
        <w:jc w:val="right"/>
        <w:rPr>
          <w:rFonts w:hint="eastAsia" w:ascii="仿宋_GB2312" w:hAnsi="仿宋_GB2312" w:eastAsia="仿宋_GB2312" w:cs="仿宋_GB2312"/>
          <w:color w:val="auto"/>
          <w:sz w:val="24"/>
          <w:szCs w:val="24"/>
          <w:highlight w:val="none"/>
          <w:lang w:val="en-US" w:eastAsia="zh-CN"/>
        </w:rPr>
      </w:pPr>
    </w:p>
    <w:p w14:paraId="6B7CA936">
      <w:pPr>
        <w:pStyle w:val="10"/>
        <w:jc w:val="right"/>
        <w:rPr>
          <w:rFonts w:hint="eastAsia" w:ascii="仿宋_GB2312" w:hAnsi="仿宋_GB2312" w:eastAsia="仿宋_GB2312" w:cs="仿宋_GB2312"/>
          <w:color w:val="auto"/>
          <w:sz w:val="24"/>
          <w:szCs w:val="24"/>
          <w:highlight w:val="none"/>
          <w:lang w:val="en-US" w:eastAsia="zh-CN"/>
        </w:rPr>
      </w:pPr>
    </w:p>
    <w:p w14:paraId="3FFA7971">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36E548AF">
      <w:pPr>
        <w:spacing w:line="360" w:lineRule="auto"/>
        <w:ind w:firstLine="0" w:firstLineChars="0"/>
        <w:jc w:val="center"/>
        <w:rPr>
          <w:rFonts w:hint="eastAsia" w:ascii="宋体" w:hAnsi="宋体" w:eastAsia="宋体" w:cs="宋体"/>
          <w:b/>
          <w:bCs/>
          <w:color w:val="000000"/>
          <w:spacing w:val="15"/>
          <w:kern w:val="0"/>
          <w:sz w:val="36"/>
          <w:szCs w:val="28"/>
        </w:rPr>
      </w:pPr>
      <w:r>
        <w:rPr>
          <w:rFonts w:hint="eastAsia" w:ascii="方正小标宋简体" w:hAnsi="方正小标宋简体" w:eastAsia="方正小标宋简体" w:cs="方正小标宋简体"/>
          <w:kern w:val="44"/>
          <w:sz w:val="44"/>
          <w:szCs w:val="44"/>
          <w:lang w:val="zh-CN"/>
        </w:rPr>
        <w:t>安全管理协议</w:t>
      </w:r>
    </w:p>
    <w:p w14:paraId="0EC5ED74">
      <w:pPr>
        <w:spacing w:line="360" w:lineRule="auto"/>
        <w:ind w:firstLine="0" w:firstLineChars="0"/>
        <w:jc w:val="left"/>
        <w:rPr>
          <w:rFonts w:hint="eastAsia" w:ascii="楷体_GB2312" w:hAnsi="宋体" w:eastAsia="楷体_GB2312"/>
          <w:b/>
          <w:sz w:val="24"/>
          <w:szCs w:val="24"/>
        </w:rPr>
      </w:pPr>
    </w:p>
    <w:p w14:paraId="69818A7B">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1A3D18D5">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bCs/>
          <w:sz w:val="24"/>
          <w:szCs w:val="24"/>
          <w:lang w:val="zh-CN"/>
        </w:rPr>
      </w:pPr>
      <w:r>
        <w:rPr>
          <w:rFonts w:hint="eastAsia" w:ascii="仿宋_GB2312" w:hAnsi="仿宋_GB2312" w:eastAsia="仿宋_GB2312" w:cs="仿宋_GB2312"/>
          <w:b/>
          <w:sz w:val="24"/>
          <w:szCs w:val="24"/>
        </w:rPr>
        <w:t>承包人（乙方）：公司</w:t>
      </w:r>
    </w:p>
    <w:p w14:paraId="30B58F1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安全生产法》及相关法律、法规和条例，坚持“安全第一、预防为主”的方针，强化安全管理，落实安全生产责任制，维护甲乙双方的共同利益，保证服务质量和安全生产，保持良好的工作秩序，确保合同项目按期、安全、优质、高效地完成，保障从业人员的安全健康，保障国家和投资者财产免遭损失，特签订本协议书；乙方在履行项目合同的过程中应遵循本协议的约定。</w:t>
      </w:r>
    </w:p>
    <w:p w14:paraId="6B7BC80D">
      <w:pPr>
        <w:keepNext w:val="0"/>
        <w:keepLines w:val="0"/>
        <w:pageBreakBefore w:val="0"/>
        <w:kinsoku/>
        <w:topLinePunct w:val="0"/>
        <w:bidi w:val="0"/>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一、安全文明生产目标</w:t>
      </w:r>
    </w:p>
    <w:p w14:paraId="4BBC9D20">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（一）川南发电公司2×600MW机组安全施工管理目标：不发生人身死亡事故，并杜绝以下事故：</w:t>
      </w:r>
    </w:p>
    <w:p w14:paraId="2F7C6DBC">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1.不发生人身轻伤及以上生产安全人身伤害事故；</w:t>
      </w:r>
    </w:p>
    <w:p w14:paraId="4204C2AA">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2.不发生一般及以上设备、火灾事故；</w:t>
      </w:r>
    </w:p>
    <w:p w14:paraId="7A77B211">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3.不发生误操作事故；</w:t>
      </w:r>
    </w:p>
    <w:p w14:paraId="0D8E41E5">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4.不发生负同等及以上责任的一般交通事故；</w:t>
      </w:r>
    </w:p>
    <w:p w14:paraId="6405C0B2">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5.不发生环境污染事故和灰场垮坝事故；</w:t>
      </w:r>
    </w:p>
    <w:p w14:paraId="5C35C9A6">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6.不发生有重大社会影响的电力安全事件；</w:t>
      </w:r>
    </w:p>
    <w:p w14:paraId="419EF7CD">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7.不发生急性职业中毒事件；</w:t>
      </w:r>
    </w:p>
    <w:p w14:paraId="4FDB05A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8.机组强迫停运次数≤1次；</w:t>
      </w:r>
    </w:p>
    <w:p w14:paraId="0F9B818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9.年度实现3个百日安全生产记录。</w:t>
      </w:r>
    </w:p>
    <w:p w14:paraId="223EC6D3">
      <w:pPr>
        <w:keepNext w:val="0"/>
        <w:keepLines w:val="0"/>
        <w:pageBreakBefore w:val="0"/>
        <w:kinsoku/>
        <w:topLinePunct w:val="0"/>
        <w:bidi w:val="0"/>
        <w:spacing w:line="360" w:lineRule="auto"/>
        <w:ind w:firstLine="600" w:firstLineChars="2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(二)创全国一流安全文明生产现场。</w:t>
      </w:r>
    </w:p>
    <w:p w14:paraId="0478669A">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（三）甲乙双方各自安全管理目标应以上述安全文明生产管理目标为基础，不得以自身原因影响上述安全文明生产管理目标的实现。</w:t>
      </w:r>
    </w:p>
    <w:p w14:paraId="345F8A4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r>
        <w:rPr>
          <w:rFonts w:hint="eastAsia" w:ascii="仿宋_GB2312" w:hAnsi="仿宋_GB2312" w:eastAsia="仿宋_GB2312" w:cs="仿宋_GB2312"/>
          <w:b/>
          <w:sz w:val="24"/>
          <w:szCs w:val="24"/>
        </w:rPr>
        <w:t>安全管理依据</w:t>
      </w:r>
    </w:p>
    <w:p w14:paraId="2CC3252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甲乙双方严格遵守有关安全管理法律、法规和规定，甲方实施安全文明生产管理依据主要有：</w:t>
      </w:r>
    </w:p>
    <w:p w14:paraId="5A0698B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（一）国家《安全生产法》（最新修订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、国家《特种设备安全法》、《特种设备安全监察条例》（国务院令第549号）、《特种设备作业人员监督管理办法》及道路交通等法律、法规和安全管理文件。</w:t>
      </w:r>
    </w:p>
    <w:p w14:paraId="5DA4B46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（二）《电力安全事故应急处置和调查处理条例》（国务院令第599号）。</w:t>
      </w:r>
    </w:p>
    <w:p w14:paraId="31ABFB3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（三）国家《职业病防治法》、《四川省安全生产条例》。</w:t>
      </w:r>
    </w:p>
    <w:p w14:paraId="31B3EB84">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（四）国家电力公司或原电力部有关行业安全管理规定，包括《电力建设文明施工规定及考核办法》、《电力建设安全工作规程-第一部分：火力发电》（</w:t>
      </w:r>
      <w:r>
        <w:rPr>
          <w:rFonts w:hint="eastAsia" w:ascii="仿宋_GB2312" w:hAnsi="仿宋_GB2312" w:eastAsia="仿宋_GB2312" w:cs="仿宋_GB2312"/>
          <w:b/>
          <w:sz w:val="24"/>
          <w:szCs w:val="24"/>
        </w:rPr>
        <w:t>DL 5009.1-2014</w:t>
      </w:r>
      <w:r>
        <w:rPr>
          <w:rFonts w:hint="eastAsia" w:ascii="仿宋_GB2312" w:hAnsi="仿宋_GB2312" w:eastAsia="仿宋_GB2312" w:cs="仿宋_GB2312"/>
          <w:sz w:val="24"/>
          <w:szCs w:val="24"/>
        </w:rPr>
        <w:t>）、《电力建设安全健康与环境管理工作规定》、《电力生产安全工作规定》、国家及行业有关防止电力生产事故二十五项反措的技术要求、《电力安全生产规程-发电厂及变电站电气部分》（</w:t>
      </w:r>
      <w:r>
        <w:rPr>
          <w:rFonts w:hint="eastAsia" w:ascii="仿宋_GB2312" w:hAnsi="仿宋_GB2312" w:eastAsia="仿宋_GB2312" w:cs="仿宋_GB2312"/>
          <w:b/>
          <w:sz w:val="24"/>
          <w:szCs w:val="24"/>
        </w:rPr>
        <w:t>GB 26860-2011</w:t>
      </w:r>
      <w:r>
        <w:rPr>
          <w:rFonts w:hint="eastAsia" w:ascii="仿宋_GB2312" w:hAnsi="仿宋_GB2312" w:eastAsia="仿宋_GB2312" w:cs="仿宋_GB2312"/>
          <w:sz w:val="24"/>
          <w:szCs w:val="24"/>
        </w:rPr>
        <w:t>）、《电力安全工作规程-热力和机械》（</w:t>
      </w:r>
      <w:r>
        <w:rPr>
          <w:rFonts w:hint="eastAsia" w:ascii="仿宋_GB2312" w:hAnsi="仿宋_GB2312" w:eastAsia="仿宋_GB2312" w:cs="仿宋_GB2312"/>
          <w:b/>
          <w:sz w:val="24"/>
          <w:szCs w:val="24"/>
        </w:rPr>
        <w:t>GB-26164.1-2010</w:t>
      </w:r>
      <w:r>
        <w:rPr>
          <w:rFonts w:hint="eastAsia" w:ascii="仿宋_GB2312" w:hAnsi="仿宋_GB2312" w:eastAsia="仿宋_GB2312" w:cs="仿宋_GB2312"/>
          <w:sz w:val="24"/>
          <w:szCs w:val="24"/>
        </w:rPr>
        <w:t>）、《电力设备典型消防规程》（</w:t>
      </w:r>
      <w:r>
        <w:rPr>
          <w:rFonts w:hint="eastAsia" w:ascii="仿宋_GB2312" w:hAnsi="仿宋_GB2312" w:eastAsia="仿宋_GB2312" w:cs="仿宋_GB2312"/>
          <w:b/>
          <w:sz w:val="24"/>
          <w:szCs w:val="24"/>
        </w:rPr>
        <w:t>DL 5027-2015</w:t>
      </w:r>
      <w:r>
        <w:rPr>
          <w:rFonts w:hint="eastAsia" w:ascii="仿宋_GB2312" w:hAnsi="仿宋_GB2312" w:eastAsia="仿宋_GB2312" w:cs="仿宋_GB2312"/>
          <w:sz w:val="24"/>
          <w:szCs w:val="24"/>
        </w:rPr>
        <w:t>）等。</w:t>
      </w:r>
    </w:p>
    <w:p w14:paraId="4D3F658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（五）甲方上级有关安全管理的规定或文件。</w:t>
      </w:r>
    </w:p>
    <w:p w14:paraId="68B3EFE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（六）相关招标文件、施工合同有关安全条款。</w:t>
      </w:r>
    </w:p>
    <w:p w14:paraId="52FC95F7">
      <w:pPr>
        <w:pStyle w:val="5"/>
        <w:keepNext w:val="0"/>
        <w:keepLines w:val="0"/>
        <w:pageBreakBefore w:val="0"/>
        <w:kinsoku/>
        <w:topLinePunct w:val="0"/>
        <w:bidi w:val="0"/>
        <w:spacing w:line="360" w:lineRule="auto"/>
        <w:ind w:firstLine="420" w:firstLineChars="200"/>
        <w:rPr>
          <w:rFonts w:hint="eastAsia" w:ascii="仿宋_GB2312" w:hAnsi="仿宋_GB2312" w:eastAsia="仿宋_GB2312" w:cs="仿宋_GB2312"/>
          <w:szCs w:val="24"/>
        </w:rPr>
      </w:pPr>
      <w:r>
        <w:rPr>
          <w:rFonts w:hint="eastAsia" w:ascii="仿宋_GB2312" w:hAnsi="仿宋_GB2312" w:eastAsia="仿宋_GB2312" w:cs="仿宋_GB2312"/>
          <w:szCs w:val="24"/>
        </w:rPr>
        <w:t>（七）甲方《四川泸州川南发电有限责任公司安全生产工作规定》、《厂区道路交通安全管理标准》、《环境保护管理标准》、《四川泸州川南发电有限责任公司员工行为规范》、《工作票、操作票管理标准》、《易燃易爆场所工作管理标准》、《特种设备管理标准》、《安全工器具管理标准》、《设备检修安全管理》、《安全环保奖惩管理标准》《不安全情况调查分析及统计报告管理标准》、《安全隐患排查治理管理制度》、《</w:t>
      </w:r>
      <w:r>
        <w:rPr>
          <w:rFonts w:hint="eastAsia" w:ascii="仿宋_GB2312" w:hAnsi="仿宋_GB2312" w:eastAsia="仿宋_GB2312" w:cs="仿宋_GB2312"/>
          <w:bCs/>
          <w:szCs w:val="24"/>
        </w:rPr>
        <w:t>文明生产责任区域划分及管理标准</w:t>
      </w:r>
      <w:r>
        <w:rPr>
          <w:rFonts w:hint="eastAsia" w:ascii="仿宋_GB2312" w:hAnsi="仿宋_GB2312" w:eastAsia="仿宋_GB2312" w:cs="仿宋_GB2312"/>
          <w:szCs w:val="24"/>
        </w:rPr>
        <w:t>》、《公司文明办公管理规定》、《危险废物污染防治管理制度》、《脚手架安全管理标准》、《防止货运车辆超限超载超速管理制度》、《入厂车辆安全管理制度》、《承包商及队伍、其他外来人员安全管理制度》等。</w:t>
      </w:r>
    </w:p>
    <w:p w14:paraId="32F638D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（八）承包人依据上述法令、规定或文件制订的有关安全管理且经批准后执行的规定和制度。 </w:t>
      </w:r>
    </w:p>
    <w:p w14:paraId="0776B4EE">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（九）《火力发电企业生产安全设施配置》（</w:t>
      </w:r>
      <w:r>
        <w:rPr>
          <w:rFonts w:hint="eastAsia" w:ascii="仿宋_GB2312" w:hAnsi="仿宋_GB2312" w:eastAsia="仿宋_GB2312" w:cs="仿宋_GB2312"/>
          <w:b/>
          <w:bCs/>
          <w:sz w:val="24"/>
          <w:szCs w:val="24"/>
        </w:rPr>
        <w:t>DL／T1123-2009</w:t>
      </w:r>
      <w:r>
        <w:rPr>
          <w:rFonts w:hint="eastAsia" w:ascii="仿宋_GB2312" w:hAnsi="仿宋_GB2312" w:eastAsia="仿宋_GB2312" w:cs="仿宋_GB2312"/>
          <w:sz w:val="24"/>
          <w:szCs w:val="24"/>
        </w:rPr>
        <w:t>）</w:t>
      </w:r>
    </w:p>
    <w:p w14:paraId="42D6DA9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（十）《四川省电力企业安全生产标准化规范及达标评级实施标准（第一版）》（国家电力监管委员会四川省电力监管专员办公室 2012年发布）中生产设备设施及安全作业的要求。</w:t>
      </w:r>
    </w:p>
    <w:p w14:paraId="3DC8D4BA">
      <w:pPr>
        <w:keepNext w:val="0"/>
        <w:keepLines w:val="0"/>
        <w:pageBreakBefore w:val="0"/>
        <w:kinsoku/>
        <w:topLinePunct w:val="0"/>
        <w:bidi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（十一）川南发电有限责任公司年度安全生产、职业健康及环境保护工作目标。</w:t>
      </w:r>
    </w:p>
    <w:p w14:paraId="3DE48F0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57E8660D">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三、甲乙双方安全管理责任</w:t>
      </w:r>
    </w:p>
    <w:p w14:paraId="0F174F67">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4653807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1.甲方行政正职是本单位安全文明管理的第一责任者，对本单位的安全文明生产负全面责任，并建立完善好安全生产责任制。</w:t>
      </w:r>
    </w:p>
    <w:p w14:paraId="6E359619">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按有关规定要求，甲方负责组织成立川南发电安全文明生产管理委员会（简称安委会），安委会下设办公室，办公室安全文明监督组按有关规定负责生产现场的安全文明生产管理；实施安全文明生产监督、检查、指导和考核，但这并不影响和减轻乙方应承担的责任。</w:t>
      </w:r>
    </w:p>
    <w:p w14:paraId="2BDFF78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中有关安全文明生产管理的规定，不得要求承包人违反安全管理的规定进行施工，不得违章指挥。</w:t>
      </w:r>
    </w:p>
    <w:p w14:paraId="077BAB0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w:t>
      </w:r>
      <w:r>
        <w:rPr>
          <w:rFonts w:hint="default" w:ascii="仿宋_GB2312" w:hAnsi="仿宋_GB2312" w:eastAsia="仿宋_GB2312" w:cs="仿宋_GB2312"/>
          <w:sz w:val="24"/>
          <w:szCs w:val="24"/>
          <w:lang w:val="en-US"/>
        </w:rPr>
        <w:t>有责任</w:t>
      </w:r>
      <w:r>
        <w:rPr>
          <w:rFonts w:hint="eastAsia" w:ascii="仿宋_GB2312" w:hAnsi="仿宋_GB2312" w:eastAsia="仿宋_GB2312" w:cs="仿宋_GB2312"/>
          <w:sz w:val="24"/>
          <w:szCs w:val="24"/>
        </w:rPr>
        <w:t>对其在生产场地的甲方有关人员进行安全教育，并对他们的安全负责。</w:t>
      </w:r>
    </w:p>
    <w:p w14:paraId="39A75A7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5.因甲方原因导致的安全事故，甲方应承担相应责任。</w:t>
      </w:r>
    </w:p>
    <w:p w14:paraId="6F4D8930">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（二）乙方的安全责任</w:t>
      </w:r>
    </w:p>
    <w:p w14:paraId="4D73E03C">
      <w:pPr>
        <w:keepNext w:val="0"/>
        <w:keepLines w:val="0"/>
        <w:pageBreakBefore w:val="0"/>
        <w:kinsoku/>
        <w:topLinePunct w:val="0"/>
        <w:bidi w:val="0"/>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1.乙方行政正职是本单位安全文明生产的第一责任人，对本单位的安全文明生产负全面责任，建立健全并落实全员安全生产责任制，满足安全管理要求。</w:t>
      </w:r>
    </w:p>
    <w:p w14:paraId="0EFF5B8F">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事先掌握项目所存在的各种安全风险，按时足额投入安全文明施工费。乙方应建立健全安全管理机构，配备专职或兼职安全管理人员。鉴于甲方安全管理的需要，特定要求乙方从业人员超过30人（含30人）时应设置安全生产管理机构或配备专职安全生产管理人员；乙方从业人员不足30人的，应配备专职或兼职安全生产管理人员（国家强制规定必须设置专职安全管理人员的项目除外）。乙方应定期对作业人员进行安全培训，提升人员的安全意识和安全技能，使其了解作业中可能面临的安全风险和必须采取的防范措施。乙方应组织开展各类安全检查和隐患排查，乙方专（兼）职安全生产管理人员应对作业现场、作业环境、施工人员作业行为等进行检查、监督与协调，并经常向现场甲方汇报安全监督管理情况。</w:t>
      </w:r>
    </w:p>
    <w:p w14:paraId="60719CFD">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有关法律法规及安全管理规章制度，并结合本单位和生产特点，编制适合自身安全需要的安全管理制度，并注重落实和执行。</w:t>
      </w:r>
    </w:p>
    <w:p w14:paraId="2B59919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根据本生产现场和作业特点，编制合理的施工组织设计，制订完善的施工方案并按有关规定报审通过后执行；方案中必须包括：完善的安全技术设施、现场安全保障措施、安全防护措施。乙方在组织施工时严禁违章指挥、违章作业、违反劳动纪律，确保施工安全。</w:t>
      </w:r>
    </w:p>
    <w:p w14:paraId="7E022015">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5.乙方服从甲方安委会及其办公室对安全文明生产的管理，随时接受安全检查人员的监督检查。参加本现场有关定期和不定期安全活动（会议、检查），接受有关奖惩细则、办法和考核。</w:t>
      </w:r>
    </w:p>
    <w:p w14:paraId="5D3D010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通过合同（或协议）进行外委项目对管辖的设备、设施进行检修、改造、新建设施等工作，必须报请甲方同意，并由乙方具体负责组织施工；乙方若对管辖的设备进行改造或新建安装应当按照国家有关特种设备管理规定向属地特种设备主管部门进行申报、报检和备案，并将相关资料移交甲方，产生的费用按照合同约定执行。</w:t>
      </w:r>
    </w:p>
    <w:p w14:paraId="465759F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color w:val="FF0000"/>
          <w:sz w:val="24"/>
          <w:szCs w:val="24"/>
        </w:rPr>
        <w:t>.</w:t>
      </w:r>
      <w:r>
        <w:rPr>
          <w:rFonts w:hint="eastAsia" w:ascii="仿宋_GB2312" w:hAnsi="仿宋_GB2312" w:eastAsia="仿宋_GB2312" w:cs="仿宋_GB2312"/>
          <w:sz w:val="24"/>
          <w:szCs w:val="24"/>
        </w:rPr>
        <w:t>乙方有责任加强对劳务队伍的安全管理，劳务队伍的安全事故责任乙方按照合同（或协议）由承包商及乙方负责；乙方按有关管理规定，加强对民工、合同工和新进场人员的安全管理和教育。乙方负责所属工作人员着装整齐、符合《电力安全工作规定》着装要求，必要时应当佩戴工作标志。乙方保证不使用未成年人员和不适应现场安全施工的老、弱、病、残人员；从事国家规定需定期进行职业健康检查的专业工作人员必须职业健康检查合格。</w:t>
      </w:r>
    </w:p>
    <w:p w14:paraId="62F59C4E">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8.乙方应根据工作中的风险为作业人员提供合格的、满足需要的个人防护用品，并督促作业人员正确使用。在所有施工场地，现场所有人员都至少应穿戴安全帽、防砸防穿刺安全鞋、工作服。</w:t>
      </w:r>
    </w:p>
    <w:p w14:paraId="265DBBB3">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sz w:val="24"/>
          <w:szCs w:val="24"/>
        </w:rPr>
        <w:t>9.</w:t>
      </w:r>
      <w:r>
        <w:rPr>
          <w:rFonts w:hint="eastAsia" w:ascii="仿宋_GB2312" w:hAnsi="仿宋_GB2312" w:eastAsia="仿宋_GB2312" w:cs="仿宋_GB2312"/>
          <w:kern w:val="0"/>
          <w:sz w:val="24"/>
          <w:szCs w:val="24"/>
          <w:lang w:val="zh-CN"/>
        </w:rPr>
        <w:t>乙方应采取一切合理措施，保护作业现场人员免受高温、粉尘、噪音造成的危害。</w:t>
      </w:r>
    </w:p>
    <w:p w14:paraId="6CC483B4">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10</w:t>
      </w:r>
      <w:r>
        <w:rPr>
          <w:rFonts w:hint="eastAsia" w:ascii="仿宋_GB2312" w:hAnsi="仿宋_GB2312" w:eastAsia="仿宋_GB2312" w:cs="仿宋_GB2312"/>
          <w:kern w:val="0"/>
          <w:sz w:val="24"/>
          <w:szCs w:val="24"/>
          <w:lang w:val="zh-CN"/>
        </w:rPr>
        <w:t>.乙方现场负责人及安全管理人员、特种作业人员、</w:t>
      </w:r>
      <w:r>
        <w:rPr>
          <w:rFonts w:hint="eastAsia" w:ascii="仿宋_GB2312" w:hAnsi="仿宋_GB2312" w:eastAsia="仿宋_GB2312" w:cs="仿宋_GB2312"/>
          <w:kern w:val="0"/>
          <w:sz w:val="24"/>
          <w:szCs w:val="24"/>
        </w:rPr>
        <w:t>特种设备操作人员</w:t>
      </w:r>
      <w:r>
        <w:rPr>
          <w:rFonts w:hint="eastAsia" w:ascii="仿宋_GB2312" w:hAnsi="仿宋_GB2312" w:eastAsia="仿宋_GB2312" w:cs="仿宋_GB2312"/>
          <w:kern w:val="0"/>
          <w:sz w:val="24"/>
          <w:szCs w:val="24"/>
          <w:lang w:val="zh-CN"/>
        </w:rPr>
        <w:t>必须持有效资质上岗。乙方作业人员</w:t>
      </w:r>
      <w:r>
        <w:rPr>
          <w:rFonts w:hint="eastAsia" w:ascii="仿宋_GB2312" w:hAnsi="仿宋_GB2312" w:eastAsia="仿宋_GB2312" w:cs="仿宋_GB2312"/>
          <w:sz w:val="24"/>
          <w:szCs w:val="24"/>
        </w:rPr>
        <w:t>进行特种（设备）作业人员（如焊接作业、起重作业、机动车驾驶、搭架作业、电气作业、化学危险品作业、消防设备维修、机械加工、无损检验、爆破作业等）必须经政府有关部门培训，并取得主管部门颁发的资格证书才能上岗，否则不得安排工作。</w:t>
      </w:r>
    </w:p>
    <w:p w14:paraId="5B88E342">
      <w:pPr>
        <w:keepNext w:val="0"/>
        <w:keepLines w:val="0"/>
        <w:pageBreakBefore w:val="0"/>
        <w:kinsoku/>
        <w:topLinePunct w:val="0"/>
        <w:bidi w:val="0"/>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当发生不安全事件（包括不安全趋势或隐患），危及或可能危及双方或第三方人员安全、危及运行设备安全时，乙方必须立即停止所有工作并采取合理的措施防止危害扩大，及时将实际情况汇报甲方生产管理部门和安全监察部门。</w:t>
      </w:r>
    </w:p>
    <w:p w14:paraId="7FB6CEAD">
      <w:pPr>
        <w:pStyle w:val="11"/>
        <w:keepNext w:val="0"/>
        <w:keepLines w:val="0"/>
        <w:pageBreakBefore w:val="0"/>
        <w:numPr>
          <w:ilvl w:val="0"/>
          <w:numId w:val="0"/>
        </w:numPr>
        <w:tabs>
          <w:tab w:val="clear" w:pos="1680"/>
        </w:tabs>
        <w:kinsoku/>
        <w:topLinePunct w:val="0"/>
        <w:bidi w:val="0"/>
        <w:adjustRightInd w:val="0"/>
        <w:spacing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12.工作中双方或第三方人员的人身安全受到威胁时，乙方有责任立即处理，并报告现场甲方安全监察部门和生产管理部门；</w:t>
      </w:r>
      <w:r>
        <w:rPr>
          <w:rFonts w:hint="eastAsia" w:ascii="仿宋_GB2312" w:hAnsi="仿宋_GB2312" w:eastAsia="仿宋_GB2312" w:cs="仿宋_GB2312"/>
          <w:kern w:val="2"/>
          <w:sz w:val="24"/>
          <w:szCs w:val="24"/>
          <w:lang w:val="zh-CN"/>
        </w:rPr>
        <w:t>两个及以上在甲方同一区域内作业的乙方，可能影响对方生产安全时，应当签订</w:t>
      </w:r>
      <w:r>
        <w:rPr>
          <w:rFonts w:hint="eastAsia" w:ascii="仿宋_GB2312" w:hAnsi="仿宋_GB2312" w:eastAsia="仿宋_GB2312" w:cs="仿宋_GB2312"/>
          <w:kern w:val="2"/>
          <w:sz w:val="24"/>
          <w:szCs w:val="24"/>
        </w:rPr>
        <w:t>《交叉作业安全协议》</w:t>
      </w:r>
      <w:r>
        <w:rPr>
          <w:rFonts w:hint="eastAsia" w:ascii="仿宋_GB2312" w:hAnsi="仿宋_GB2312" w:eastAsia="仿宋_GB2312" w:cs="仿宋_GB2312"/>
          <w:kern w:val="2"/>
          <w:sz w:val="24"/>
          <w:szCs w:val="24"/>
          <w:lang w:val="zh-CN"/>
        </w:rPr>
        <w:t>，明确各自的安全生产管理职责、</w:t>
      </w:r>
      <w:r>
        <w:rPr>
          <w:rFonts w:hint="eastAsia" w:ascii="仿宋_GB2312" w:hAnsi="仿宋_GB2312" w:eastAsia="仿宋_GB2312" w:cs="仿宋_GB2312"/>
          <w:kern w:val="2"/>
          <w:sz w:val="24"/>
          <w:szCs w:val="24"/>
        </w:rPr>
        <w:t>管理人员、联络方式</w:t>
      </w:r>
      <w:r>
        <w:rPr>
          <w:rFonts w:hint="eastAsia" w:ascii="仿宋_GB2312" w:hAnsi="仿宋_GB2312" w:eastAsia="仿宋_GB2312" w:cs="仿宋_GB2312"/>
          <w:kern w:val="2"/>
          <w:sz w:val="24"/>
          <w:szCs w:val="24"/>
          <w:lang w:val="zh-CN"/>
        </w:rPr>
        <w:t>和应当采取的安全措施，并报甲方备案。</w:t>
      </w:r>
    </w:p>
    <w:p w14:paraId="0526B68E">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13.乙方施工前应完善封闭施工措施，在醒目位置设置各类完善的安全警示标识、宣传标语、危险点分析、职业病危害告知卡等。</w:t>
      </w:r>
    </w:p>
    <w:p w14:paraId="7579D739">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14.乙方必须严格遵守甲方“两票三制”工作规定，委派具有相应专业知识和符合《电力安全工作规定》的人员参加甲方组织的工作负责人考试，成绩合格者方能担任工作票负责人。</w:t>
      </w:r>
    </w:p>
    <w:p w14:paraId="7E8BE6E0">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15.乙方应根据合同实施特点，做好交通运输安全管理工作。包括但不限于：对司机进行教育培训；督促司机遵守《道路交通安全法》等法律法规和甲方《厂区道路交通安全管理标准》《防止货运车辆超限超载超速管理制度》《入厂车辆安全管理制度》等相关交通管理制度；禁止车辆乱停乱放和超速、超载、超限行驶；禁止在车辆行驶途中使用手机或从事其他与驾驶无关的工作；禁止非法改装、拼装车辆进入甲方厂区等一切危害道路交通安全的行为。</w:t>
      </w:r>
    </w:p>
    <w:p w14:paraId="32418E51">
      <w:pPr>
        <w:keepNext w:val="0"/>
        <w:keepLines w:val="0"/>
        <w:pageBreakBefore w:val="0"/>
        <w:tabs>
          <w:tab w:val="left" w:pos="8820"/>
          <w:tab w:val="left" w:pos="9180"/>
        </w:tabs>
        <w:kinsoku/>
        <w:topLinePunct w:val="0"/>
        <w:autoSpaceDE w:val="0"/>
        <w:autoSpaceDN w:val="0"/>
        <w:bidi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16.乙方在正式履行合同前，应主动到甲方安全管理部门接受安全培训，提交符合</w:t>
      </w:r>
      <w:r>
        <w:rPr>
          <w:rFonts w:hint="default" w:ascii="仿宋_GB2312" w:hAnsi="仿宋_GB2312" w:eastAsia="仿宋_GB2312" w:cs="仿宋_GB2312"/>
          <w:sz w:val="24"/>
          <w:szCs w:val="24"/>
          <w:lang w:val="en-US"/>
        </w:rPr>
        <w:t>本协议</w:t>
      </w:r>
      <w:r>
        <w:rPr>
          <w:rFonts w:hint="eastAsia" w:ascii="仿宋_GB2312" w:hAnsi="仿宋_GB2312" w:eastAsia="仿宋_GB2312" w:cs="仿宋_GB2312"/>
          <w:sz w:val="24"/>
          <w:szCs w:val="24"/>
        </w:rPr>
        <w:t>要求的相关安全管理证明文件。</w:t>
      </w:r>
    </w:p>
    <w:p w14:paraId="6540FCF3">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44C36C9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（一）</w:t>
      </w:r>
      <w:r>
        <w:rPr>
          <w:rFonts w:hint="eastAsia" w:ascii="仿宋_GB2312" w:hAnsi="仿宋_GB2312" w:eastAsia="仿宋_GB2312" w:cs="仿宋_GB2312"/>
          <w:sz w:val="24"/>
          <w:szCs w:val="24"/>
        </w:rPr>
        <w:t>发生重大伤亡及其他安全事故，乙方应按规定立即将事故情况上报有关部门、现场组织机构及有关安全负责人，同时按政府或上级有关部门要求处理，由事故责任方承担发生的费用。</w:t>
      </w:r>
    </w:p>
    <w:p w14:paraId="3E51AFA1">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（二）甲乙双方对事故责任有争议时，应按政府或上级有关部门的认定处理。</w:t>
      </w:r>
    </w:p>
    <w:p w14:paraId="206BB265">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五、安全考核制度</w:t>
      </w:r>
    </w:p>
    <w:p w14:paraId="1860E6EA">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甲方对乙方实行安全与经济挂钩的管理办法，及时对不安全情况进行考核。考核款由乙方到甲方财务部门缴纳现金，对拒不缴纳或未按时缴纳者甲方有权从合同款、质保金中进行扣除。</w:t>
      </w:r>
    </w:p>
    <w:p w14:paraId="722995C6">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（一）若乙方未发生轻伤及以上事故，甲方将按公司规定按时按质按量拨付工程进度款。</w:t>
      </w:r>
    </w:p>
    <w:p w14:paraId="0EFE0C12">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highlight w:val="yellow"/>
        </w:rPr>
      </w:pPr>
      <w:r>
        <w:rPr>
          <w:rFonts w:hint="eastAsia" w:ascii="仿宋_GB2312" w:hAnsi="仿宋_GB2312" w:eastAsia="仿宋_GB2312" w:cs="仿宋_GB2312"/>
          <w:bCs/>
          <w:sz w:val="24"/>
          <w:szCs w:val="24"/>
        </w:rPr>
        <w:t>（二）若乙方发生人身重伤以上事故，甲方有权每次从工程款中扣减20万元，合同金额不足20万元的，扣减金额以合同金额为准。</w:t>
      </w:r>
    </w:p>
    <w:p w14:paraId="14569B17">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（三）若乙方发生人身重伤事故，甲方有权从工程款扣减5万元/1人·次。</w:t>
      </w:r>
    </w:p>
    <w:p w14:paraId="182AA38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（四）若乙方发生人身轻伤事故，甲方有权从工程款扣减1万元/1人·次。</w:t>
      </w:r>
    </w:p>
    <w:p w14:paraId="26AD4845">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（五）若乙方原因造成乙方人员发生职业病伤害，由</w:t>
      </w:r>
      <w:r>
        <w:rPr>
          <w:rFonts w:hint="eastAsia" w:ascii="仿宋_GB2312" w:hAnsi="仿宋_GB2312" w:eastAsia="仿宋_GB2312" w:cs="仿宋_GB2312"/>
          <w:sz w:val="24"/>
          <w:szCs w:val="24"/>
        </w:rPr>
        <w:t>乙方承担责任且妥善处理相关事宜。</w:t>
      </w:r>
    </w:p>
    <w:p w14:paraId="3CC3F11C">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（六）若乙方原因造成重大及以上设备损坏事故，照原价赔偿或完全修复（修复费用乙方负责）并每次从工程款扣减20万元，合同金额不足20万元的，扣减金额以合同金额为准。</w:t>
      </w:r>
    </w:p>
    <w:p w14:paraId="0C9DE3C8">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（七）若乙方原因造成一般设备损坏事故，照价赔偿或完全修复（费用乙方负责）并每次从工程款扣减3000-5000元。</w:t>
      </w:r>
    </w:p>
    <w:p w14:paraId="312C99A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（八）若乙方原因造成重大及以上火灾事故，甲方有权从工程款扣减20万元/次，合同金额不足20万元的，扣减金额以合同金额为准。</w:t>
      </w:r>
    </w:p>
    <w:p w14:paraId="269E46D0">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（九）若乙方原因造成一般火灾事故，甲方有权从工程款扣减500－2000元/次。</w:t>
      </w:r>
    </w:p>
    <w:p w14:paraId="637DD30B">
      <w:pPr>
        <w:keepNext w:val="0"/>
        <w:keepLines w:val="0"/>
        <w:pageBreakBefore w:val="0"/>
        <w:kinsoku/>
        <w:topLinePunct w:val="0"/>
        <w:bidi w:val="0"/>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（十）若乙方原因造成所辖设备事故、障碍、异常，将按照甲方有关管理制度进行考核。（如考核项目与上述有重复，不进行重复考核）</w:t>
      </w:r>
    </w:p>
    <w:p w14:paraId="193B82FD">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（十一）若乙方发生人身伤亡、设备事故（损坏）未遂瞒情不报，</w:t>
      </w:r>
      <w:r>
        <w:rPr>
          <w:rFonts w:hint="eastAsia" w:ascii="仿宋_GB2312" w:hAnsi="仿宋_GB2312" w:eastAsia="仿宋_GB2312" w:cs="仿宋_GB2312"/>
          <w:bCs/>
          <w:sz w:val="24"/>
          <w:szCs w:val="24"/>
        </w:rPr>
        <w:t>甲方有权从工程款扣减5000元/次。</w:t>
      </w:r>
    </w:p>
    <w:p w14:paraId="61D7F33B">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（十二）</w:t>
      </w:r>
      <w:r>
        <w:rPr>
          <w:rFonts w:hint="eastAsia" w:ascii="仿宋_GB2312" w:hAnsi="仿宋_GB2312" w:eastAsia="仿宋_GB2312" w:cs="仿宋_GB2312"/>
          <w:sz w:val="24"/>
          <w:szCs w:val="24"/>
        </w:rPr>
        <w:t>若乙方在生产现场（厂区内）发生负主要责任的交通安全事故，</w:t>
      </w:r>
      <w:r>
        <w:rPr>
          <w:rFonts w:hint="eastAsia" w:ascii="仿宋_GB2312" w:hAnsi="仿宋_GB2312" w:eastAsia="仿宋_GB2312" w:cs="仿宋_GB2312"/>
          <w:bCs/>
          <w:sz w:val="24"/>
          <w:szCs w:val="24"/>
        </w:rPr>
        <w:t>甲方有权</w:t>
      </w:r>
      <w:r>
        <w:rPr>
          <w:rFonts w:hint="eastAsia" w:ascii="仿宋_GB2312" w:hAnsi="仿宋_GB2312" w:eastAsia="仿宋_GB2312" w:cs="仿宋_GB2312"/>
          <w:sz w:val="24"/>
          <w:szCs w:val="24"/>
        </w:rPr>
        <w:t>从工程款扣减5000元/次。</w:t>
      </w:r>
    </w:p>
    <w:p w14:paraId="1F0477B7">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（十三）若乙方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环境污染事故，甲方将按照公司有关环保管理标准进行考核。若甲方因此对外承担环境污染责任或名誉受损的，甲方有权向乙方追偿。</w:t>
      </w:r>
    </w:p>
    <w:p w14:paraId="7D808EBE">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（十四）若乙方</w:t>
      </w:r>
      <w:r>
        <w:rPr>
          <w:rFonts w:hint="eastAsia" w:ascii="仿宋_GB2312" w:hAnsi="仿宋_GB2312" w:eastAsia="仿宋_GB2312" w:cs="仿宋_GB2312"/>
          <w:bCs/>
          <w:sz w:val="24"/>
          <w:szCs w:val="24"/>
        </w:rPr>
        <w:t>原因造成</w:t>
      </w:r>
      <w:r>
        <w:rPr>
          <w:rFonts w:hint="eastAsia" w:ascii="仿宋_GB2312" w:hAnsi="仿宋_GB2312" w:eastAsia="仿宋_GB2312" w:cs="仿宋_GB2312"/>
          <w:sz w:val="24"/>
          <w:szCs w:val="24"/>
        </w:rPr>
        <w:t>有严重社会影响的电力安全生产事件，乙方承担责任且妥善处理相关事宜并接受本公司有关考核。特别是“新冠肺炎疫情”期间若发生疑似或确诊病例，将参照国家、地方相关处理指导意见进行问责。</w:t>
      </w:r>
    </w:p>
    <w:p w14:paraId="12B1376B">
      <w:pPr>
        <w:keepNext w:val="0"/>
        <w:keepLines w:val="0"/>
        <w:pageBreakBefore w:val="0"/>
        <w:kinsoku/>
        <w:topLinePunct w:val="0"/>
        <w:bidi w:val="0"/>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（十五）若乙方在施工过程中未发生上述情况，但管理、作业人员发生管理违章、装置性违章、习惯性违章等情形时将按照甲方《安全环保奖惩管理标准》及技术协议书、检修手册等规定进行经济考核。</w:t>
      </w:r>
    </w:p>
    <w:p w14:paraId="3CBC229C">
      <w:pPr>
        <w:keepNext w:val="0"/>
        <w:keepLines w:val="0"/>
        <w:pageBreakBefore w:val="0"/>
        <w:kinsoku/>
        <w:topLinePunct w:val="0"/>
        <w:bidi w:val="0"/>
        <w:spacing w:line="360" w:lineRule="auto"/>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307726B2">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七、</w:t>
      </w:r>
      <w:r>
        <w:rPr>
          <w:rFonts w:hint="eastAsia" w:ascii="仿宋_GB2312" w:hAnsi="仿宋_GB2312" w:eastAsia="仿宋_GB2312" w:cs="仿宋_GB2312"/>
          <w:b/>
          <w:bCs/>
          <w:sz w:val="24"/>
          <w:szCs w:val="24"/>
        </w:rPr>
        <w:t>安全考核制度从签订安全管理协议之日执行。</w:t>
      </w:r>
    </w:p>
    <w:p w14:paraId="528F7A57">
      <w:pPr>
        <w:keepNext w:val="0"/>
        <w:keepLines w:val="0"/>
        <w:pageBreakBefore w:val="0"/>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3C58949C">
      <w:pPr>
        <w:keepNext w:val="0"/>
        <w:keepLines w:val="0"/>
        <w:pageBreakBefore w:val="0"/>
        <w:tabs>
          <w:tab w:val="left" w:pos="5535"/>
        </w:tabs>
        <w:kinsoku/>
        <w:topLinePunct w:val="0"/>
        <w:bidi w:val="0"/>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w:t>
      </w:r>
      <w:r>
        <w:rPr>
          <w:rFonts w:hint="eastAsia" w:ascii="仿宋_GB2312" w:hAnsi="仿宋_GB2312" w:eastAsia="仿宋_GB2312" w:cs="仿宋_GB2312"/>
          <w:b/>
          <w:bCs/>
          <w:sz w:val="24"/>
          <w:szCs w:val="24"/>
        </w:rPr>
        <w:t>乙方与甲方签订</w:t>
      </w:r>
      <w:r>
        <w:rPr>
          <w:rFonts w:hint="eastAsia" w:ascii="仿宋_GB2312" w:hAnsi="仿宋_GB2312" w:eastAsia="仿宋_GB2312" w:cs="仿宋_GB2312"/>
          <w:b/>
          <w:sz w:val="24"/>
          <w:szCs w:val="24"/>
        </w:rPr>
        <w:t>合同中涉及安全管理条款的具体实施细则，经双方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6ADC5D61">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50B31E3E">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                                       </w:t>
      </w:r>
    </w:p>
    <w:p w14:paraId="54CAB344">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10CE5049">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p>
    <w:p w14:paraId="2067B4BF">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乙方：</w:t>
      </w:r>
    </w:p>
    <w:p w14:paraId="2C90516C">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22859853">
      <w:pPr>
        <w:spacing w:line="240" w:lineRule="auto"/>
        <w:ind w:firstLine="0" w:firstLineChars="0"/>
        <w:rPr>
          <w:rFonts w:ascii="Times New Roman" w:hAnsi="Times New Roman" w:eastAsia="宋体"/>
          <w:sz w:val="21"/>
          <w:szCs w:val="24"/>
        </w:rPr>
      </w:pPr>
    </w:p>
    <w:p w14:paraId="05E28CCB">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2F8911B2">
      <w:pPr>
        <w:spacing w:line="240" w:lineRule="auto"/>
        <w:ind w:firstLine="0" w:firstLineChars="0"/>
        <w:jc w:val="center"/>
        <w:rPr>
          <w:rFonts w:hint="eastAsia" w:ascii="方正小标宋简体" w:hAnsi="方正小标宋简体" w:eastAsia="方正小标宋简体" w:cs="方正小标宋简体"/>
          <w:kern w:val="44"/>
          <w:sz w:val="44"/>
          <w:szCs w:val="44"/>
          <w:lang w:val="zh-CN"/>
        </w:rPr>
      </w:pPr>
    </w:p>
    <w:p w14:paraId="7776F668">
      <w:pPr>
        <w:spacing w:line="360" w:lineRule="auto"/>
        <w:ind w:firstLine="0" w:firstLineChars="0"/>
        <w:jc w:val="center"/>
        <w:rPr>
          <w:rFonts w:hint="eastAsia"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环保管理协议</w:t>
      </w:r>
    </w:p>
    <w:p w14:paraId="32895EAA">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发包人（甲方）：四川泸州川南发电有限责任公司</w:t>
      </w:r>
    </w:p>
    <w:p w14:paraId="5A561DD5">
      <w:pPr>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承包人（乙方）：</w:t>
      </w:r>
    </w:p>
    <w:p w14:paraId="40A8779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贯彻落实《中华人民共和国环境保护法》及相关法律、法规和条例，坚持保护优先、预防为主、综合治理、公众参与、损害担责的环境保护原则，强化企业环保管理，落实环保责任制，确保四川泸州川南发电有限责任公司技术改造工程建设、设备检修、设备维护项目过程中确保环保设施运行正常运行、环保措施执行到位及废气污染物稳定实现超低限值排放，减少生态破坏，有效保护环境，特签订本协议书；甲乙双方在履行项目合同的过程中应遵循本协议的约定。</w:t>
      </w:r>
    </w:p>
    <w:p w14:paraId="4A048CE6">
      <w:pPr>
        <w:spacing w:line="360" w:lineRule="auto"/>
        <w:ind w:firstLine="477" w:firstLineChars="198"/>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 环保生产目标</w:t>
      </w:r>
    </w:p>
    <w:p w14:paraId="2DA84A8D">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（一）四川泸州川南发电公司2×600MW机组环保管理目标：实现突发环境事件零目标，杜绝以下事件：</w:t>
      </w:r>
    </w:p>
    <w:p w14:paraId="0BFAA47F">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不发生因对环保设施检修维护不及时造成的污染物超标排放或突发环境事件；</w:t>
      </w:r>
    </w:p>
    <w:p w14:paraId="328ABFFF">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不发生因野蛮施工、误操作造成的突发环境事件；</w:t>
      </w:r>
    </w:p>
    <w:p w14:paraId="4F6FC45F">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不发生因设备改造、检修维护过程中未采取环保措施或措施执行不到位造成的突发环境事件；</w:t>
      </w:r>
    </w:p>
    <w:p w14:paraId="0CBDF4AA">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 不发生因处置不当或未及时进行处置造成的突发环境事件； </w:t>
      </w:r>
    </w:p>
    <w:p w14:paraId="40FD5FB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不发生因未按规定进行设备定期巡视、检查造成的突发环境事件。</w:t>
      </w:r>
    </w:p>
    <w:p w14:paraId="160C8504">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(二) 甲乙双方各自环保管理目标应以上述环保管理目标为基础，不得以自身原因影响上述环保管理目标的实现。</w:t>
      </w:r>
    </w:p>
    <w:p w14:paraId="365BEE9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二 </w:t>
      </w:r>
      <w:r>
        <w:rPr>
          <w:rFonts w:hint="eastAsia" w:ascii="仿宋_GB2312" w:hAnsi="仿宋_GB2312" w:eastAsia="仿宋_GB2312" w:cs="仿宋_GB2312"/>
          <w:b/>
          <w:sz w:val="24"/>
          <w:szCs w:val="24"/>
        </w:rPr>
        <w:t>环保管理依据</w:t>
      </w:r>
    </w:p>
    <w:p w14:paraId="48691E28">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甲乙双方严格遵守有关环保管理法律、法规和规定，甲方实施环保管理依据包括但不限于：</w:t>
      </w:r>
    </w:p>
    <w:p w14:paraId="094AE99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（一）《中华人民共和国环境保护法》（</w:t>
      </w:r>
      <w:r>
        <w:rPr>
          <w:rFonts w:hint="eastAsia" w:ascii="仿宋_GB2312" w:hAnsi="仿宋_GB2312" w:eastAsia="仿宋_GB2312" w:cs="仿宋_GB2312"/>
          <w:b w:val="0"/>
          <w:bCs/>
          <w:sz w:val="24"/>
          <w:szCs w:val="24"/>
          <w:lang w:eastAsia="zh-CN"/>
        </w:rPr>
        <w:t>最新修订</w:t>
      </w:r>
      <w:r>
        <w:rPr>
          <w:rFonts w:hint="eastAsia" w:ascii="仿宋_GB2312" w:hAnsi="仿宋_GB2312" w:eastAsia="仿宋_GB2312" w:cs="仿宋_GB2312"/>
          <w:sz w:val="24"/>
          <w:szCs w:val="24"/>
        </w:rPr>
        <w:t>）及其四个配套办法《环境保护部门主管部门实施按日连续处罚办法》（环境保护部令第28号）、《环境保护部门主管部门实施查封、扣押办法》（环境保护部令第29号）、《环境保护部门主管部门实施限期生产、停产整治办法》（环境保护部令第30号）、《企事业单位环境信息公开办法》（环境保护部令第31号）、《中华人民共和国大气污染防治法》、《中华人民共和国水污染防治法》、《中华人民共和国固体废物污染环境防治法》、《中华人民共和国土壤污染防治法》等其他法律、法规和环保管理文件。</w:t>
      </w:r>
    </w:p>
    <w:p w14:paraId="7C044EF4">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（二）环境保护部《燃煤火电企业环境守法导则》。</w:t>
      </w:r>
    </w:p>
    <w:p w14:paraId="7A05764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（三）最高人民法院、最高人民检察院《关于办理环境污染刑事案件适用法律若干问题的解释》。</w:t>
      </w:r>
    </w:p>
    <w:p w14:paraId="30A2929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（四）《电力工业环境保护管理办法》（电力工业部第9号令）</w:t>
      </w:r>
    </w:p>
    <w:p w14:paraId="3F3E83F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（五）甲方上级有关环保管理的规定或文件。</w:t>
      </w:r>
    </w:p>
    <w:p w14:paraId="02DAE7C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（六）相关招标文件、施工合同有关环保条款。</w:t>
      </w:r>
    </w:p>
    <w:p w14:paraId="3E8560F2">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七）川南发电公司《环境保护管理标准》、《安全环保奖惩管理标准》、《突发环境事件应急预案》、《危险废物污染防治管理制度》、《危险废物突发环境事件应急预案》、《扬尘污染防治管理制度》、《文明生产责任区域划分及管理标准》、《垃圾处置管理办法》、《安全隐患排查治理管理制度》等。</w:t>
      </w:r>
    </w:p>
    <w:p w14:paraId="03717ED5">
      <w:pPr>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（八）川南发电有限责任公司年度安全生产、职业健康及环境保护工作目标。</w:t>
      </w:r>
    </w:p>
    <w:p w14:paraId="0F2884C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上述管理依据均以国家、行业及上级部门规定、甲方公司管理制度最新标准执行。乙方在履行项目合同过程中应遵守上述法规、规则。</w:t>
      </w:r>
    </w:p>
    <w:p w14:paraId="45B0FC2B">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 甲乙双方环保管理责任</w:t>
      </w:r>
    </w:p>
    <w:p w14:paraId="7A74257C">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（一）甲方责任</w:t>
      </w:r>
    </w:p>
    <w:p w14:paraId="5F40E5ED">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甲方行政正职是本单位环保管理的第一责任者，对本单位的环保工作负全面责任，并建立健全完善员工环保生产责任制。</w:t>
      </w:r>
    </w:p>
    <w:p w14:paraId="7907AC4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按有关规定要求，甲方负责组织成立川南发电环境保护领导小组，领导小组下设环保办公室和环保监察办公室，负责公司环保日常管理及监察事务；实施环保生产监督、检查、指导和考核，但这并不影响和减轻乙方应承担的责任。</w:t>
      </w:r>
    </w:p>
    <w:p w14:paraId="26EAA895">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甲方应严格遵守和执行本协议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中有关环保生产管理的规定，不得要求承包人违反环保管理的规定进行施工，不得违章指挥。</w:t>
      </w:r>
    </w:p>
    <w:p w14:paraId="7BE231DC">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4.甲方对乙方作业有监督职责，乙方发生不环保行为，甲方按照合同或《安全环保奖惩管理标准》进行考核。</w:t>
      </w:r>
    </w:p>
    <w:p w14:paraId="39CC197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因甲方原因导致的突发环境事件，甲方应承担相应责任。</w:t>
      </w:r>
    </w:p>
    <w:p w14:paraId="036691F4">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（二）乙方责任</w:t>
      </w:r>
    </w:p>
    <w:p w14:paraId="3AD4B7A8">
      <w:pPr>
        <w:spacing w:line="360" w:lineRule="auto"/>
        <w:ind w:firstLine="475" w:firstLineChars="19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乙方行政正职是本单位环保管理的第一责任人，对本单位的环保工作负全面责任，建立健全并落实全员环保生产责任制，满足环保管理要求。</w:t>
      </w:r>
    </w:p>
    <w:p w14:paraId="244BA12A">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乙方应建立健全现场环保管理组织机构，进行环保管理。组织开展各类环保安全检查和隐患排查，乙方专（兼）职环保管理人员应对作业现场、作业环境、施工人员作业行为等进行检查、监督与协调，并经常向现场甲方汇报环保监督管理情况。</w:t>
      </w:r>
    </w:p>
    <w:p w14:paraId="7FDD952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乙方严格遵守和执行本协议</w:t>
      </w:r>
      <w:r>
        <w:rPr>
          <w:rFonts w:hint="eastAsia" w:ascii="仿宋_GB2312" w:hAnsi="仿宋_GB2312" w:eastAsia="仿宋_GB2312" w:cs="仿宋_GB2312"/>
          <w:b/>
          <w:sz w:val="24"/>
          <w:szCs w:val="24"/>
        </w:rPr>
        <w:t>第二条</w:t>
      </w:r>
      <w:r>
        <w:rPr>
          <w:rFonts w:hint="eastAsia" w:ascii="仿宋_GB2312" w:hAnsi="仿宋_GB2312" w:eastAsia="仿宋_GB2312" w:cs="仿宋_GB2312"/>
          <w:sz w:val="24"/>
          <w:szCs w:val="24"/>
        </w:rPr>
        <w:t>有关安全管理规定，并结合本单位和生产特点，编制适合自身环保管理需要的环保管理制度，并落实和执行。</w:t>
      </w:r>
    </w:p>
    <w:p w14:paraId="0E884401">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 乙方根据生产现场和作业特点，编制合理的施工组织设计，制订完善的施工方案并按有关规定报审通过后执行；方案中必须包括：完善的环保技术设施、现场环境保护措施。</w:t>
      </w:r>
    </w:p>
    <w:p w14:paraId="2EEEBF66">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 乙方服从甲方环保领导小组及其环保办公室和环保监察办公室对环保生产的管理，随时接受环保管理人员的监督检查。参加现场有关定期和不定期安全环保活动（会议、检查），接受有关奖惩细则、办法和考核。</w:t>
      </w:r>
    </w:p>
    <w:p w14:paraId="3EEF9F13">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 乙方有责任加强对劳务队伍的环保工作管理，劳务队伍的突发环境事件责任</w:t>
      </w:r>
      <w:r>
        <w:rPr>
          <w:rFonts w:hint="eastAsia" w:ascii="仿宋_GB2312" w:hAnsi="仿宋_GB2312" w:eastAsia="仿宋_GB2312" w:cs="仿宋_GB2312"/>
          <w:sz w:val="24"/>
          <w:szCs w:val="24"/>
        </w:rPr>
        <w:t>乙方按照合同（或协议）由承包商及乙方负责；乙方按有关管理规定，加强对民工、合同工和新进场人员的环保管理和教育。</w:t>
      </w:r>
    </w:p>
    <w:p w14:paraId="1CD2FCED">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r>
        <w:rPr>
          <w:rFonts w:hint="eastAsia" w:ascii="仿宋_GB2312" w:hAnsi="仿宋_GB2312" w:eastAsia="仿宋_GB2312" w:cs="仿宋_GB2312"/>
          <w:kern w:val="0"/>
          <w:sz w:val="24"/>
          <w:szCs w:val="24"/>
          <w:lang w:val="zh-CN"/>
        </w:rPr>
        <w:t xml:space="preserve"> </w:t>
      </w:r>
      <w:r>
        <w:rPr>
          <w:rFonts w:hint="eastAsia" w:ascii="仿宋_GB2312" w:hAnsi="仿宋_GB2312" w:eastAsia="仿宋_GB2312" w:cs="仿宋_GB2312"/>
          <w:sz w:val="24"/>
          <w:szCs w:val="24"/>
        </w:rPr>
        <w:t>乙方施工前应完善施工环保措施，设置各类完善的安全环保警示标识、宣传标语、危险点分析、预防隔离等。</w:t>
      </w:r>
    </w:p>
    <w:p w14:paraId="0D338610">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8.乙方在施工安全技术交底的同时必须进行环保安全交底工作，并做好记录。</w:t>
      </w:r>
    </w:p>
    <w:p w14:paraId="2D58BE7F">
      <w:pPr>
        <w:tabs>
          <w:tab w:val="left" w:pos="8820"/>
          <w:tab w:val="left" w:pos="9180"/>
        </w:tabs>
        <w:autoSpaceDE w:val="0"/>
        <w:autoSpaceDN w:val="0"/>
        <w:adjustRightInd w:val="0"/>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9.因乙方原因造成的安全环保事故（事件），由乙方承担责任。因乙方原因导致甲方及在甲方厂区内工作的人员遭受损失的，由乙方负责。</w:t>
      </w:r>
    </w:p>
    <w:p w14:paraId="3EE9AFBA">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四、事故处理</w:t>
      </w:r>
    </w:p>
    <w:p w14:paraId="31B5F88B">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发生较大突发环境事件、重大突发环境事件，乙方应按规定立即将事故情况上报有关部门、现场组织机构及有关环保负责人，同时按政府或上级有关部门要求处理，由事件责任方承担发生的费用。甲方及时配合乙方开展应急处置工作。</w:t>
      </w:r>
    </w:p>
    <w:p w14:paraId="775F2EC7">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（二）甲乙双方对事件责任有争议时，应按政府或上级有关部门的认定处理。</w:t>
      </w:r>
    </w:p>
    <w:p w14:paraId="4895B79F">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五、环保考核制度</w:t>
      </w:r>
    </w:p>
    <w:p w14:paraId="0EFAAAD9">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甲方对乙方实行环保与经济挂钩的管理办法，及时对不环保情况进行考核。考核款由乙方到甲方财务部门缴纳现金，对拒不缴纳或未按时缴纳者甲方有权从合同款、质保金中进行扣除。</w:t>
      </w:r>
    </w:p>
    <w:p w14:paraId="44195A58">
      <w:pPr>
        <w:spacing w:line="360" w:lineRule="auto"/>
        <w:ind w:firstLine="480" w:firstLineChars="200"/>
        <w:jc w:val="left"/>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 xml:space="preserve">（一） </w:t>
      </w:r>
      <w:r>
        <w:rPr>
          <w:rFonts w:hint="eastAsia" w:ascii="仿宋_GB2312" w:hAnsi="仿宋_GB2312" w:eastAsia="仿宋_GB2312" w:cs="仿宋_GB2312"/>
          <w:bCs/>
          <w:sz w:val="24"/>
          <w:szCs w:val="24"/>
        </w:rPr>
        <w:t>若乙方发</w:t>
      </w:r>
      <w:r>
        <w:rPr>
          <w:rFonts w:hint="eastAsia" w:ascii="仿宋_GB2312" w:hAnsi="仿宋_GB2312" w:eastAsia="仿宋_GB2312" w:cs="仿宋_GB2312"/>
          <w:sz w:val="24"/>
          <w:szCs w:val="24"/>
        </w:rPr>
        <w:t>生Ⅰ级重大突发环境事件</w:t>
      </w:r>
      <w:r>
        <w:rPr>
          <w:rFonts w:hint="eastAsia" w:ascii="仿宋_GB2312" w:hAnsi="仿宋_GB2312" w:eastAsia="仿宋_GB2312" w:cs="仿宋_GB2312"/>
          <w:bCs/>
          <w:sz w:val="24"/>
          <w:szCs w:val="24"/>
        </w:rPr>
        <w:t>，</w:t>
      </w:r>
      <w:r>
        <w:rPr>
          <w:rFonts w:hint="eastAsia" w:ascii="仿宋_GB2312" w:hAnsi="仿宋_GB2312" w:eastAsia="仿宋_GB2312" w:cs="仿宋_GB2312"/>
          <w:bCs/>
          <w:color w:val="000000"/>
          <w:sz w:val="24"/>
          <w:szCs w:val="24"/>
        </w:rPr>
        <w:t>根据事件</w:t>
      </w:r>
      <w:r>
        <w:rPr>
          <w:rFonts w:hint="eastAsia" w:ascii="仿宋_GB2312" w:hAnsi="仿宋_GB2312" w:eastAsia="仿宋_GB2312" w:cs="仿宋_GB2312"/>
          <w:bCs/>
          <w:sz w:val="24"/>
          <w:szCs w:val="24"/>
        </w:rPr>
        <w:t>严重性每次从工程款中扣减5-20万元，金额不足以合同款上限为准。</w:t>
      </w:r>
    </w:p>
    <w:p w14:paraId="47E69FC9">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bCs/>
          <w:color w:val="000000"/>
          <w:sz w:val="24"/>
          <w:szCs w:val="24"/>
        </w:rPr>
        <w:t xml:space="preserve">（二） </w:t>
      </w:r>
      <w:r>
        <w:rPr>
          <w:rFonts w:hint="eastAsia" w:ascii="仿宋_GB2312" w:hAnsi="仿宋_GB2312" w:eastAsia="仿宋_GB2312" w:cs="仿宋_GB2312"/>
          <w:bCs/>
          <w:sz w:val="24"/>
          <w:szCs w:val="24"/>
        </w:rPr>
        <w:t>若乙方发生Ⅱ级</w:t>
      </w:r>
      <w:r>
        <w:rPr>
          <w:rFonts w:hint="eastAsia" w:ascii="仿宋_GB2312" w:hAnsi="仿宋_GB2312" w:eastAsia="仿宋_GB2312" w:cs="仿宋_GB2312"/>
          <w:sz w:val="24"/>
          <w:szCs w:val="24"/>
        </w:rPr>
        <w:t>较大突发环境事件</w:t>
      </w:r>
      <w:r>
        <w:rPr>
          <w:rFonts w:hint="eastAsia" w:ascii="仿宋_GB2312" w:hAnsi="仿宋_GB2312" w:eastAsia="仿宋_GB2312" w:cs="仿宋_GB2312"/>
          <w:bCs/>
          <w:sz w:val="24"/>
          <w:szCs w:val="24"/>
        </w:rPr>
        <w:t>，根据事件严重性每次从工程款中扣减1000元-3</w:t>
      </w:r>
      <w:r>
        <w:rPr>
          <w:rFonts w:hint="eastAsia" w:ascii="仿宋_GB2312" w:hAnsi="仿宋_GB2312" w:eastAsia="仿宋_GB2312" w:cs="仿宋_GB2312"/>
          <w:sz w:val="24"/>
          <w:szCs w:val="24"/>
        </w:rPr>
        <w:t>万元，金额不足以合同款上限为准。</w:t>
      </w:r>
    </w:p>
    <w:p w14:paraId="7FD0FA86">
      <w:pPr>
        <w:spacing w:line="360" w:lineRule="auto"/>
        <w:ind w:firstLine="470" w:firstLineChars="19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 若乙方发生Ⅲ级一般突发环境事件或</w:t>
      </w:r>
      <w:r>
        <w:rPr>
          <w:rFonts w:hint="eastAsia" w:ascii="仿宋_GB2312" w:hAnsi="仿宋_GB2312" w:eastAsia="仿宋_GB2312" w:cs="仿宋_GB2312"/>
          <w:bCs/>
          <w:sz w:val="24"/>
          <w:szCs w:val="24"/>
        </w:rPr>
        <w:t>污染物短时</w:t>
      </w:r>
      <w:r>
        <w:rPr>
          <w:rFonts w:hint="eastAsia" w:ascii="仿宋_GB2312" w:hAnsi="仿宋_GB2312" w:eastAsia="仿宋_GB2312" w:cs="仿宋_GB2312"/>
          <w:sz w:val="24"/>
          <w:szCs w:val="24"/>
        </w:rPr>
        <w:t>超标排放、环保隐患整改不力、环保措施执行不到位、环保管理不到位等异常情况，每次将按照甲方《安全环保奖惩管理标准》进行考核。</w:t>
      </w:r>
    </w:p>
    <w:p w14:paraId="29DA1C12">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六、本协议书与国家或上级有关法律、法规、制度、政策不吻合的，以上级为准。</w:t>
      </w:r>
    </w:p>
    <w:p w14:paraId="1DF238F6">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七、环保考核制度从签订合同环保管理协议书之日</w:t>
      </w:r>
      <w:r>
        <w:rPr>
          <w:rFonts w:hint="eastAsia" w:ascii="仿宋_GB2312" w:hAnsi="仿宋_GB2312" w:eastAsia="仿宋_GB2312" w:cs="仿宋_GB2312"/>
          <w:b/>
          <w:sz w:val="24"/>
          <w:szCs w:val="24"/>
          <w:lang w:val="en-US" w:eastAsia="zh-CN"/>
        </w:rPr>
        <w:t>起</w:t>
      </w:r>
      <w:r>
        <w:rPr>
          <w:rFonts w:hint="eastAsia" w:ascii="仿宋_GB2312" w:hAnsi="仿宋_GB2312" w:eastAsia="仿宋_GB2312" w:cs="仿宋_GB2312"/>
          <w:b/>
          <w:sz w:val="24"/>
          <w:szCs w:val="24"/>
        </w:rPr>
        <w:t>执行。</w:t>
      </w:r>
    </w:p>
    <w:p w14:paraId="08BEF078">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八、本协议未尽事宜，双方按有关规定（制度）协商解决。</w:t>
      </w:r>
    </w:p>
    <w:p w14:paraId="361DA610">
      <w:pPr>
        <w:spacing w:line="360" w:lineRule="auto"/>
        <w:ind w:firstLine="472" w:firstLineChars="196"/>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九、本协议作为乙方与甲方签订合同中涉及环保管理条款的具体实施细则，经双方</w:t>
      </w:r>
      <w:r>
        <w:rPr>
          <w:rFonts w:hint="eastAsia" w:ascii="仿宋_GB2312" w:hAnsi="仿宋_GB2312" w:eastAsia="仿宋_GB2312" w:cs="仿宋_GB2312"/>
          <w:b/>
          <w:sz w:val="24"/>
          <w:szCs w:val="24"/>
          <w:lang w:eastAsia="zh-CN"/>
        </w:rPr>
        <w:t>盖章</w:t>
      </w:r>
      <w:r>
        <w:rPr>
          <w:rFonts w:hint="eastAsia" w:ascii="仿宋_GB2312" w:hAnsi="仿宋_GB2312" w:eastAsia="仿宋_GB2312" w:cs="仿宋_GB2312"/>
          <w:b/>
          <w:sz w:val="24"/>
          <w:szCs w:val="24"/>
        </w:rPr>
        <w:t>后生效，在合同期内一直有效，随合同终止而终止。</w:t>
      </w:r>
    </w:p>
    <w:p w14:paraId="58F3A96C">
      <w:pPr>
        <w:keepNext w:val="0"/>
        <w:keepLines w:val="0"/>
        <w:pageBreakBefore w:val="0"/>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甲方：</w:t>
      </w:r>
      <w:r>
        <w:rPr>
          <w:rFonts w:hint="eastAsia" w:ascii="仿宋_GB2312" w:hAnsi="仿宋_GB2312" w:eastAsia="仿宋_GB2312" w:cs="仿宋_GB2312"/>
          <w:b/>
          <w:sz w:val="24"/>
          <w:szCs w:val="24"/>
          <w:lang w:val="en-US" w:eastAsia="zh-CN"/>
        </w:rPr>
        <w:t xml:space="preserve">四川泸州川南发电有限责任公司 </w:t>
      </w:r>
      <w:r>
        <w:rPr>
          <w:rFonts w:hint="eastAsia" w:ascii="仿宋_GB2312" w:hAnsi="仿宋_GB2312" w:eastAsia="仿宋_GB2312" w:cs="仿宋_GB2312"/>
          <w:b/>
          <w:sz w:val="24"/>
          <w:szCs w:val="24"/>
        </w:rPr>
        <w:t xml:space="preserve">                                           </w:t>
      </w:r>
    </w:p>
    <w:p w14:paraId="09DE22E8">
      <w:pPr>
        <w:keepNext w:val="0"/>
        <w:keepLines w:val="0"/>
        <w:pageBreakBefore w:val="0"/>
        <w:tabs>
          <w:tab w:val="left" w:pos="5535"/>
        </w:tabs>
        <w:kinsoku/>
        <w:topLinePunct w:val="0"/>
        <w:bidi w:val="0"/>
        <w:spacing w:line="360" w:lineRule="auto"/>
        <w:ind w:firstLine="4578" w:firstLineChars="1900"/>
        <w:jc w:val="left"/>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r>
        <w:rPr>
          <w:rFonts w:hint="eastAsia" w:ascii="仿宋_GB2312" w:hAnsi="仿宋_GB2312" w:eastAsia="仿宋_GB2312" w:cs="仿宋_GB2312"/>
          <w:b/>
          <w:sz w:val="24"/>
          <w:szCs w:val="24"/>
          <w:lang w:val="en-US" w:eastAsia="zh-CN"/>
        </w:rPr>
        <w:t xml:space="preserve">     </w:t>
      </w:r>
    </w:p>
    <w:p w14:paraId="41E6DC5E">
      <w:pPr>
        <w:keepNext w:val="0"/>
        <w:keepLines w:val="0"/>
        <w:pageBreakBefore w:val="0"/>
        <w:tabs>
          <w:tab w:val="left" w:pos="5535"/>
        </w:tabs>
        <w:kinsoku/>
        <w:topLinePunct w:val="0"/>
        <w:bidi w:val="0"/>
        <w:spacing w:line="360" w:lineRule="auto"/>
        <w:ind w:firstLine="0" w:firstLineChars="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乙方：</w:t>
      </w:r>
    </w:p>
    <w:p w14:paraId="42937B2C">
      <w:pPr>
        <w:keepNext w:val="0"/>
        <w:keepLines w:val="0"/>
        <w:pageBreakBefore w:val="0"/>
        <w:tabs>
          <w:tab w:val="left" w:pos="5535"/>
        </w:tabs>
        <w:kinsoku/>
        <w:topLinePunct w:val="0"/>
        <w:bidi w:val="0"/>
        <w:spacing w:line="360" w:lineRule="auto"/>
        <w:ind w:firstLine="48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年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月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日</w:t>
      </w:r>
    </w:p>
    <w:p w14:paraId="1FDAFC5F">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5F980AD7">
      <w:pPr>
        <w:keepNext w:val="0"/>
        <w:keepLines w:val="0"/>
        <w:pageBreakBefore w:val="0"/>
        <w:widowControl w:val="0"/>
        <w:kinsoku/>
        <w:wordWrap/>
        <w:overflowPunct/>
        <w:topLinePunct w:val="0"/>
        <w:autoSpaceDE/>
        <w:autoSpaceDN/>
        <w:bidi w:val="0"/>
        <w:adjustRightInd/>
        <w:snapToGrid/>
        <w:spacing w:before="625" w:beforeLines="200" w:after="625" w:afterLines="200" w:line="360" w:lineRule="auto"/>
        <w:ind w:left="0" w:leftChars="0" w:right="0" w:rightChars="0" w:firstLine="0" w:firstLineChars="0"/>
        <w:jc w:val="center"/>
        <w:textAlignment w:val="auto"/>
        <w:outlineLvl w:val="9"/>
        <w:rPr>
          <w:rFonts w:hint="eastAsia" w:ascii="仿宋_GB2312" w:hAnsi="仿宋_GB2312" w:eastAsia="仿宋_GB2312" w:cs="仿宋_GB2312"/>
          <w:b/>
          <w:bCs/>
          <w:sz w:val="28"/>
          <w:szCs w:val="28"/>
        </w:rPr>
      </w:pPr>
      <w:r>
        <w:rPr>
          <w:rFonts w:hint="eastAsia" w:ascii="方正小标宋简体" w:hAnsi="方正小标宋简体" w:eastAsia="方正小标宋简体" w:cs="方正小标宋简体"/>
          <w:sz w:val="44"/>
          <w:szCs w:val="44"/>
        </w:rPr>
        <w:t>廉洁协议</w:t>
      </w:r>
    </w:p>
    <w:p w14:paraId="36C6DE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val="en-US" w:eastAsia="zh-CN"/>
        </w:rPr>
        <w:t>四川泸州川南发电有限责任公司</w:t>
      </w:r>
    </w:p>
    <w:p w14:paraId="3AFA830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乙方：</w:t>
      </w:r>
    </w:p>
    <w:p w14:paraId="3A5A185C">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为了增强甲乙双方依法经营、廉洁从业意识，完善自我约束、自我监督机制，营造廉洁诚信工作环境，</w:t>
      </w:r>
      <w:r>
        <w:rPr>
          <w:rFonts w:hint="eastAsia" w:ascii="仿宋_GB2312" w:hAnsi="仿宋_GB2312" w:eastAsia="仿宋_GB2312" w:cs="仿宋_GB2312"/>
          <w:sz w:val="24"/>
          <w:szCs w:val="24"/>
        </w:rPr>
        <w:t>保证甲乙双方廉洁</w:t>
      </w:r>
      <w:r>
        <w:rPr>
          <w:rFonts w:hint="eastAsia" w:ascii="仿宋_GB2312" w:hAnsi="仿宋_GB2312" w:eastAsia="仿宋_GB2312" w:cs="仿宋_GB2312"/>
          <w:sz w:val="24"/>
          <w:szCs w:val="24"/>
          <w:lang w:val="en-US" w:eastAsia="zh-CN"/>
        </w:rPr>
        <w:t>开展</w:t>
      </w:r>
      <w:r>
        <w:rPr>
          <w:rFonts w:hint="eastAsia" w:ascii="仿宋_GB2312" w:hAnsi="仿宋_GB2312" w:eastAsia="仿宋_GB2312" w:cs="仿宋_GB2312"/>
          <w:sz w:val="24"/>
          <w:szCs w:val="24"/>
        </w:rPr>
        <w:t>商务合作，合法合规履行合同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防止发生商业贿赂等违法违纪行为，根据国家</w:t>
      </w:r>
      <w:r>
        <w:rPr>
          <w:rFonts w:hint="eastAsia" w:ascii="仿宋_GB2312" w:hAnsi="仿宋_GB2312" w:eastAsia="仿宋_GB2312" w:cs="仿宋_GB2312"/>
          <w:sz w:val="24"/>
          <w:szCs w:val="24"/>
          <w:lang w:val="en-US" w:eastAsia="zh-CN"/>
        </w:rPr>
        <w:t>有</w:t>
      </w:r>
      <w:r>
        <w:rPr>
          <w:rFonts w:hint="eastAsia" w:ascii="仿宋_GB2312" w:hAnsi="仿宋_GB2312" w:eastAsia="仿宋_GB2312" w:cs="仿宋_GB2312"/>
          <w:sz w:val="24"/>
          <w:szCs w:val="24"/>
        </w:rPr>
        <w:t>关法律法规</w:t>
      </w:r>
      <w:r>
        <w:rPr>
          <w:rFonts w:hint="eastAsia" w:ascii="仿宋_GB2312" w:hAnsi="仿宋_GB2312" w:eastAsia="仿宋_GB2312" w:cs="仿宋_GB2312"/>
          <w:sz w:val="24"/>
          <w:szCs w:val="24"/>
          <w:lang w:val="en-US" w:eastAsia="zh-CN"/>
        </w:rPr>
        <w:t>和廉洁自律</w:t>
      </w:r>
      <w:r>
        <w:rPr>
          <w:rFonts w:hint="eastAsia" w:ascii="仿宋_GB2312" w:hAnsi="仿宋_GB2312" w:eastAsia="仿宋_GB2312" w:cs="仿宋_GB2312"/>
          <w:sz w:val="24"/>
          <w:szCs w:val="24"/>
        </w:rPr>
        <w:t>规定，经</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协商一致，特订立本</w:t>
      </w:r>
      <w:r>
        <w:rPr>
          <w:rFonts w:hint="eastAsia" w:ascii="仿宋_GB2312" w:hAnsi="仿宋_GB2312" w:eastAsia="仿宋_GB2312" w:cs="仿宋_GB2312"/>
          <w:sz w:val="24"/>
          <w:szCs w:val="24"/>
          <w:lang w:val="en-US" w:eastAsia="zh-CN"/>
        </w:rPr>
        <w:t>廉洁</w:t>
      </w:r>
      <w:r>
        <w:rPr>
          <w:rFonts w:hint="eastAsia" w:ascii="仿宋_GB2312" w:hAnsi="仿宋_GB2312" w:eastAsia="仿宋_GB2312" w:cs="仿宋_GB2312"/>
          <w:sz w:val="24"/>
          <w:szCs w:val="24"/>
        </w:rPr>
        <w:t>协议。</w:t>
      </w:r>
    </w:p>
    <w:p w14:paraId="3DFE34B3">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一、甲、乙双方的共同责任</w:t>
      </w:r>
    </w:p>
    <w:p w14:paraId="09F79BD8">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1.严格遵守国家有关工程建设、物资采购、招标投标、货物运输等市场经济活动的法律法规、政策以及廉政建设规定。</w:t>
      </w:r>
    </w:p>
    <w:p w14:paraId="4835B8E8">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2.严格履行合同约定，自觉承担合同义务。</w:t>
      </w:r>
    </w:p>
    <w:p w14:paraId="75C9BD24">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3.业务活动必须坚持公平、公正、公开和诚实守信的原则，不得为获取不正当利益损害国家、集体和对方利益，不违反工程建设管理、物资采购、招标投标等方面的规章制度。</w:t>
      </w:r>
    </w:p>
    <w:p w14:paraId="5A39F268">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4.建立健全自我制约制度，开展廉洁教育，公布举报电话，监督并认 真查处违法违纪行为。</w:t>
      </w:r>
    </w:p>
    <w:p w14:paraId="11A1FDF4">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5.发现对方在业务活动中有违规、违纪、违法行为的，应及时提醒对方，情节严重的，应向有关纪检监察部门举报。</w:t>
      </w:r>
    </w:p>
    <w:p w14:paraId="68E03F66">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二、</w:t>
      </w:r>
      <w:r>
        <w:rPr>
          <w:rFonts w:hint="eastAsia" w:ascii="仿宋_GB2312" w:hAnsi="仿宋_GB2312" w:eastAsia="仿宋_GB2312" w:cs="仿宋_GB2312"/>
          <w:color w:val="000000"/>
          <w:spacing w:val="0"/>
          <w:w w:val="100"/>
          <w:position w:val="0"/>
          <w:sz w:val="24"/>
          <w:szCs w:val="24"/>
        </w:rPr>
        <w:t>甲方的责任</w:t>
      </w:r>
    </w:p>
    <w:p w14:paraId="1FA36777">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甲方相关工作人员，在业务活动的事前、事中、事后，应遵守以下规定：</w:t>
      </w:r>
    </w:p>
    <w:p w14:paraId="626D29DA">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1.按照公平、公正、公开和诚实守信的原则开展各项业务活动，为乙方提供公平的竞争环境与平台；</w:t>
      </w:r>
    </w:p>
    <w:p w14:paraId="3E486EC6">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2.不向乙方泄露涉及有关业务活动的秘密；</w:t>
      </w:r>
    </w:p>
    <w:p w14:paraId="0E8B6C4C">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3.不参与影响相关工作正常和公正开展的其他活动；</w:t>
      </w:r>
    </w:p>
    <w:p w14:paraId="458B65FA">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4.不在乙方和关联单位报销任何应由甲方或个人支付的费用；</w:t>
      </w:r>
    </w:p>
    <w:p w14:paraId="5F778A8E">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5.不要求、暗示及接受乙方和关联单位为个人装修住房、婚丧嫁娶、配偶子女的工作安排以及境内外旅游等提供方便；</w:t>
      </w:r>
    </w:p>
    <w:p w14:paraId="53142766">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6.不收受或索取红包、礼金、购物卡、有价证券、贵重物品、感谢费和好处费等非正当利益；</w:t>
      </w:r>
    </w:p>
    <w:p w14:paraId="6B0839CB">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7.不向乙方介绍配偶、子女、亲属参与与甲方有关的经济活动，不得以任何理由向乙方和关联单位推荐第三方单位。</w:t>
      </w:r>
    </w:p>
    <w:p w14:paraId="787A8784">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三、乙方的责任</w:t>
      </w:r>
    </w:p>
    <w:p w14:paraId="65618E35">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在与甲方业务交往过程中，按照有关法律法规和程序开展工作，严格执行国家的有关方针、政策，并遵守以下规定：</w:t>
      </w:r>
    </w:p>
    <w:p w14:paraId="167ADC05">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1.不以任何理由为甲方和关联单位、工作人员报销应由其支付的任何费用；</w:t>
      </w:r>
    </w:p>
    <w:p w14:paraId="24B8A447">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2.不以任何理由向甲方和关联单位、工作人员赠送红包、礼金、购物卡、有价证券、贵重物品、感谢费和好处费等非正当利益；</w:t>
      </w:r>
    </w:p>
    <w:p w14:paraId="77C03155">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3.不准为甲方和关联单位、工作人员装修住房、婚丧嫁娶、配偶子女的工作安排以及境内外旅游等提供方便；</w:t>
      </w:r>
    </w:p>
    <w:p w14:paraId="37D963BA">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4.不得以谋取非正当利益为目的，擅自与甲方工作人员就业务问题进行私下商谈或者达成利益默契。</w:t>
      </w:r>
    </w:p>
    <w:p w14:paraId="5A02789A">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四、违约责任</w:t>
      </w:r>
    </w:p>
    <w:p w14:paraId="32DE8A8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甲、乙双方</w:t>
      </w:r>
      <w:r>
        <w:rPr>
          <w:rFonts w:hint="eastAsia" w:ascii="仿宋_GB2312" w:hAnsi="仿宋_GB2312" w:eastAsia="仿宋_GB2312" w:cs="仿宋_GB2312"/>
          <w:sz w:val="24"/>
          <w:szCs w:val="24"/>
        </w:rPr>
        <w:t>及其工作人员违反</w:t>
      </w:r>
      <w:r>
        <w:rPr>
          <w:rFonts w:hint="eastAsia" w:ascii="仿宋_GB2312" w:hAnsi="仿宋_GB2312" w:eastAsia="仿宋_GB2312" w:cs="仿宋_GB2312"/>
          <w:sz w:val="24"/>
          <w:szCs w:val="24"/>
          <w:lang w:val="en-US" w:eastAsia="zh-CN"/>
        </w:rPr>
        <w:t>以上</w:t>
      </w:r>
      <w:r>
        <w:rPr>
          <w:rFonts w:hint="eastAsia" w:ascii="仿宋_GB2312" w:hAnsi="仿宋_GB2312" w:eastAsia="仿宋_GB2312" w:cs="仿宋_GB2312"/>
          <w:sz w:val="24"/>
          <w:szCs w:val="24"/>
        </w:rPr>
        <w:t>规定的，双方均有义务向纪检监察部门举报，对于情节严重构成犯罪的，应向有关司法机关进行举报。</w:t>
      </w:r>
    </w:p>
    <w:p w14:paraId="229740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甲、乙双方共同确认，任何一方违反本协议约定，</w:t>
      </w:r>
      <w:r>
        <w:rPr>
          <w:rFonts w:hint="eastAsia" w:ascii="仿宋_GB2312" w:hAnsi="仿宋_GB2312" w:eastAsia="仿宋_GB2312" w:cs="仿宋_GB2312"/>
          <w:sz w:val="24"/>
          <w:szCs w:val="24"/>
          <w:lang w:eastAsia="zh-CN"/>
        </w:rPr>
        <w:t>按照违约责任</w:t>
      </w:r>
      <w:r>
        <w:rPr>
          <w:rFonts w:hint="eastAsia" w:ascii="仿宋_GB2312" w:hAnsi="仿宋_GB2312" w:eastAsia="仿宋_GB2312" w:cs="仿宋_GB2312"/>
          <w:b/>
          <w:bCs/>
          <w:sz w:val="24"/>
          <w:szCs w:val="24"/>
          <w:lang w:eastAsia="zh-CN"/>
        </w:rPr>
        <w:t>支付费用、赠送礼金礼品或</w:t>
      </w:r>
      <w:r>
        <w:rPr>
          <w:rFonts w:hint="eastAsia" w:ascii="仿宋_GB2312" w:hAnsi="仿宋_GB2312" w:eastAsia="仿宋_GB2312" w:cs="仿宋_GB2312"/>
          <w:b/>
          <w:bCs/>
          <w:sz w:val="24"/>
          <w:szCs w:val="24"/>
          <w:lang w:val="en-US" w:eastAsia="zh-CN"/>
        </w:rPr>
        <w:t>其他</w:t>
      </w:r>
      <w:r>
        <w:rPr>
          <w:rFonts w:hint="eastAsia" w:ascii="仿宋_GB2312" w:hAnsi="仿宋_GB2312" w:eastAsia="仿宋_GB2312" w:cs="仿宋_GB2312"/>
          <w:b/>
          <w:bCs/>
          <w:sz w:val="24"/>
          <w:szCs w:val="24"/>
          <w:lang w:eastAsia="zh-CN"/>
        </w:rPr>
        <w:t>可计算的金额予以</w:t>
      </w:r>
      <w:r>
        <w:rPr>
          <w:rFonts w:hint="eastAsia" w:ascii="仿宋_GB2312" w:hAnsi="仿宋_GB2312" w:eastAsia="仿宋_GB2312" w:cs="仿宋_GB2312"/>
          <w:b/>
          <w:bCs/>
          <w:sz w:val="24"/>
          <w:szCs w:val="24"/>
          <w:lang w:val="en-US" w:eastAsia="zh-CN"/>
        </w:rPr>
        <w:t>10倍处罚，</w:t>
      </w:r>
      <w:r>
        <w:rPr>
          <w:rFonts w:hint="eastAsia" w:ascii="仿宋_GB2312" w:hAnsi="仿宋_GB2312" w:eastAsia="仿宋_GB2312" w:cs="仿宋_GB2312"/>
          <w:sz w:val="24"/>
          <w:szCs w:val="24"/>
        </w:rPr>
        <w:t>发生商业贿赂行为，导致守约方项目遭受经济损失或影响守约方企业形象的，违约方应承担赔偿责任，同时守约方有权单方面解除合同。</w:t>
      </w:r>
    </w:p>
    <w:p w14:paraId="5D7117E7">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五、举报途径</w:t>
      </w:r>
    </w:p>
    <w:p w14:paraId="644601C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乙方可通过以下途径举报甲方人员违纪行为：</w:t>
      </w:r>
    </w:p>
    <w:p w14:paraId="7CA4C75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受理部门：纪检工作部</w:t>
      </w:r>
    </w:p>
    <w:p w14:paraId="166CE0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举报电话：</w:t>
      </w:r>
      <w:r>
        <w:rPr>
          <w:rFonts w:hint="eastAsia" w:ascii="仿宋_GB2312" w:hAnsi="仿宋_GB2312" w:eastAsia="仿宋_GB2312" w:cs="仿宋_GB2312"/>
          <w:sz w:val="24"/>
          <w:szCs w:val="24"/>
          <w:lang w:val="en-US" w:eastAsia="zh-CN"/>
        </w:rPr>
        <w:t>0830-3628952</w:t>
      </w:r>
    </w:p>
    <w:p w14:paraId="6FD637D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举报邮箱：</w:t>
      </w:r>
      <w:r>
        <w:rPr>
          <w:rFonts w:hint="eastAsia" w:ascii="仿宋_GB2312" w:hAnsi="仿宋_GB2312" w:eastAsia="仿宋_GB2312" w:cs="仿宋_GB2312"/>
          <w:sz w:val="24"/>
          <w:szCs w:val="24"/>
          <w:lang w:val="en-US" w:eastAsia="zh-CN"/>
        </w:rPr>
        <w:t>cnfdgs20210301@163.com</w:t>
      </w:r>
    </w:p>
    <w:p w14:paraId="565A9D5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甲方可通过以下途径举报乙方人员违纪行为：</w:t>
      </w:r>
    </w:p>
    <w:p w14:paraId="526400C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受理部门：</w:t>
      </w:r>
    </w:p>
    <w:p w14:paraId="621BB3F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sz w:val="24"/>
          <w:szCs w:val="24"/>
        </w:rPr>
        <w:t>举报电话：</w:t>
      </w:r>
    </w:p>
    <w:p w14:paraId="4FC1A23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sz w:val="24"/>
          <w:szCs w:val="24"/>
        </w:rPr>
        <w:t>举报邮箱：</w:t>
      </w:r>
    </w:p>
    <w:p w14:paraId="714CC660">
      <w:pPr>
        <w:pStyle w:val="1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六、其他</w:t>
      </w:r>
    </w:p>
    <w:p w14:paraId="792B67DC">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1.本协议书经双方盖章后生效，本协议在甲方与乙方存在业务关系期间均对双方产生约束力。</w:t>
      </w:r>
    </w:p>
    <w:p w14:paraId="459792EA">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kern w:val="2"/>
          <w:sz w:val="24"/>
          <w:szCs w:val="24"/>
          <w:u w:val="none"/>
          <w:shd w:val="clear" w:color="auto" w:fill="auto"/>
          <w:lang w:val="en-US" w:eastAsia="zh-CN" w:bidi="ar-SA"/>
        </w:rPr>
      </w:pPr>
      <w:r>
        <w:rPr>
          <w:rFonts w:hint="eastAsia" w:ascii="仿宋_GB2312" w:hAnsi="仿宋_GB2312" w:eastAsia="仿宋_GB2312" w:cs="仿宋_GB2312"/>
          <w:kern w:val="2"/>
          <w:sz w:val="24"/>
          <w:szCs w:val="24"/>
          <w:u w:val="none"/>
          <w:shd w:val="clear" w:color="auto" w:fill="auto"/>
          <w:lang w:val="en-US" w:eastAsia="zh-CN" w:bidi="ar-SA"/>
        </w:rPr>
        <w:t>2.本廉洁协议书一式两份，甲、乙双方各执一份。</w:t>
      </w:r>
    </w:p>
    <w:p w14:paraId="45CB55AA">
      <w:pPr>
        <w:pStyle w:val="12"/>
        <w:keepNext w:val="0"/>
        <w:keepLines w:val="0"/>
        <w:pageBreakBefore w:val="0"/>
        <w:widowControl w:val="0"/>
        <w:shd w:val="clear" w:color="auto" w:fill="auto"/>
        <w:tabs>
          <w:tab w:val="left" w:pos="158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u w:val="none"/>
          <w:shd w:val="clear" w:color="auto" w:fill="auto"/>
          <w:lang w:val="en-US" w:eastAsia="zh-CN" w:bidi="ar-SA"/>
        </w:rPr>
        <w:t>3.甲乙双方确认在签订本廉洁协议书前已仔细阅读条款内容，甲乙双方对本协议所产生的法律责任已清楚知悉并承诺遵守。</w:t>
      </w:r>
    </w:p>
    <w:p w14:paraId="40133F5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p>
    <w:p w14:paraId="3B3A49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以下无正文。</w:t>
      </w:r>
    </w:p>
    <w:p w14:paraId="42F77C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pacing w:val="-34"/>
          <w:sz w:val="24"/>
          <w:szCs w:val="24"/>
          <w:lang w:val="en-US" w:eastAsia="zh-CN"/>
        </w:rPr>
      </w:pPr>
      <w:r>
        <w:rPr>
          <w:rFonts w:hint="eastAsia" w:ascii="仿宋_GB2312" w:hAnsi="仿宋_GB2312" w:eastAsia="仿宋_GB2312" w:cs="仿宋_GB2312"/>
          <w:sz w:val="24"/>
          <w:szCs w:val="24"/>
        </w:rPr>
        <w:t>甲方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pacing w:val="-17"/>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2731F1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地址：四川泸州江阳区江北镇     地址：</w:t>
      </w:r>
    </w:p>
    <w:p w14:paraId="576DA0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left"/>
        <w:textAlignment w:val="auto"/>
        <w:outlineLvl w:val="9"/>
        <w:rPr>
          <w:rFonts w:hint="default" w:ascii="仿宋_GB2312" w:hAnsi="仿宋_GB2312" w:eastAsia="仿宋_GB2312" w:cs="仿宋_GB2312"/>
          <w:sz w:val="28"/>
          <w:szCs w:val="28"/>
          <w:lang w:val="en-US"/>
        </w:rPr>
      </w:pPr>
      <w:r>
        <w:rPr>
          <w:rFonts w:hint="eastAsia" w:ascii="仿宋_GB2312" w:hAnsi="仿宋_GB2312" w:eastAsia="仿宋_GB2312" w:cs="仿宋_GB2312"/>
          <w:sz w:val="24"/>
          <w:szCs w:val="24"/>
        </w:rPr>
        <w:t>签订时间：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签订时间：</w:t>
      </w:r>
    </w:p>
    <w:p w14:paraId="161A355B">
      <w:pPr>
        <w:pStyle w:val="10"/>
        <w:spacing w:line="360" w:lineRule="auto"/>
        <w:jc w:val="right"/>
        <w:rPr>
          <w:rFonts w:hint="eastAsia" w:ascii="仿宋_GB2312" w:hAnsi="仿宋_GB2312" w:eastAsia="仿宋_GB2312" w:cs="仿宋_GB2312"/>
          <w:color w:val="auto"/>
          <w:sz w:val="24"/>
          <w:szCs w:val="24"/>
          <w:highlight w:val="none"/>
          <w:lang w:val="en-US" w:eastAsia="zh-CN"/>
        </w:rPr>
      </w:pPr>
    </w:p>
    <w:p w14:paraId="5AC2C493">
      <w:pPr>
        <w:numPr>
          <w:ilvl w:val="0"/>
          <w:numId w:val="2"/>
        </w:numPr>
        <w:spacing w:line="360" w:lineRule="auto"/>
        <w:ind w:firstLine="643" w:firstLineChars="200"/>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评审办法</w:t>
      </w:r>
    </w:p>
    <w:p w14:paraId="0130B9C4">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p>
    <w:p w14:paraId="4B4BF773">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1.报价截止后，采购人将按公司非招标采购相关规定组织对报价人资质进行符合性审查（评审小组共3人,由</w:t>
      </w:r>
      <w:r>
        <w:rPr>
          <w:rFonts w:hint="eastAsia" w:ascii="仿宋_GB2312" w:hAnsi="仿宋_GB2312" w:eastAsia="仿宋_GB2312" w:cs="仿宋_GB2312"/>
          <w:b w:val="0"/>
          <w:bCs w:val="0"/>
          <w:sz w:val="24"/>
          <w:szCs w:val="24"/>
          <w:lang w:val="en-US" w:eastAsia="zh-CN"/>
        </w:rPr>
        <w:t>采购</w:t>
      </w:r>
      <w:r>
        <w:rPr>
          <w:rFonts w:hint="eastAsia" w:ascii="仿宋_GB2312" w:hAnsi="仿宋_GB2312" w:eastAsia="仿宋_GB2312" w:cs="仿宋_GB2312"/>
          <w:b w:val="0"/>
          <w:bCs w:val="0"/>
          <w:sz w:val="24"/>
          <w:szCs w:val="24"/>
          <w:lang w:eastAsia="zh-CN"/>
        </w:rPr>
        <w:t>人的技术、经济专家组成，另设监督组1人），审查后确定通过符合性审查的报价人报价具有竞争性的，采购人将对通过符合性审查的报价人的最终</w:t>
      </w:r>
      <w:r>
        <w:rPr>
          <w:rFonts w:hint="eastAsia" w:ascii="仿宋_GB2312" w:hAnsi="仿宋_GB2312" w:eastAsia="仿宋_GB2312" w:cs="仿宋_GB2312"/>
          <w:b w:val="0"/>
          <w:bCs w:val="0"/>
          <w:sz w:val="24"/>
          <w:szCs w:val="24"/>
          <w:lang w:val="en-US" w:eastAsia="zh-CN"/>
        </w:rPr>
        <w:t>综合含税总报价的</w:t>
      </w:r>
      <w:r>
        <w:rPr>
          <w:rFonts w:hint="eastAsia" w:ascii="仿宋_GB2312" w:hAnsi="仿宋_GB2312" w:eastAsia="仿宋_GB2312" w:cs="仿宋_GB2312"/>
          <w:b w:val="0"/>
          <w:bCs w:val="0"/>
          <w:sz w:val="24"/>
          <w:szCs w:val="24"/>
          <w:lang w:eastAsia="zh-CN"/>
        </w:rPr>
        <w:t>价格由低到高排序，价低者优先中选。</w:t>
      </w:r>
    </w:p>
    <w:p w14:paraId="44724BDF">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2.若评审过程中发现报价人出现违反报价纪律的行为的，采购人有权废除其报价资格并有权将违纪方列入报价黑名单，被列入报价黑名单的供应商一年内（自违纪行为被发现之日起算）不得参与采购人所有项目的报价。</w:t>
      </w:r>
    </w:p>
    <w:p w14:paraId="1CB7AE9C">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3.中选人应在采购人发出中选通知书的的5日内按照公告要求将其报价资料原件邮寄或专人送达至采购人处，报价资料原件应与邮箱报价资料一致（但经评审谈判且双方确认变更的除外），否则采购人有权取消其中选资格。</w:t>
      </w:r>
    </w:p>
    <w:p w14:paraId="1AFA4895">
      <w:pPr>
        <w:pStyle w:val="10"/>
        <w:numPr>
          <w:ilvl w:val="0"/>
          <w:numId w:val="0"/>
        </w:numPr>
        <w:spacing w:line="360" w:lineRule="auto"/>
        <w:ind w:firstLine="52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sz w:val="24"/>
          <w:szCs w:val="24"/>
          <w:lang w:eastAsia="zh-CN"/>
        </w:rPr>
        <w:t>4.中选人应在采购人发出中选通知书之日起30日内与采购人签订项目书面合同，且不得对项目合同实质性条款作出实质性修改，否则采购人有权取消其中选资格；报价有效期内，采购人将根据项目情况和评审结果确定下一顺位报价人为中选人或重新组织项目采购。</w:t>
      </w:r>
    </w:p>
    <w:p w14:paraId="7E10AE0B">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277E9DEE">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7FDFE6F9">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22AEE678">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4B8636F7">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2FC6D9DB">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2AFFD517">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747ADAA8">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104EB9D0">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0CDF2CBE">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3E616B94">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3B4D8591">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751D1CE4">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6B758745">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1CCD5A84">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41638A62">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19851F39">
      <w:pPr>
        <w:pStyle w:val="10"/>
        <w:numPr>
          <w:ilvl w:val="0"/>
          <w:numId w:val="0"/>
        </w:numPr>
        <w:spacing w:line="360" w:lineRule="auto"/>
        <w:rPr>
          <w:rFonts w:hint="eastAsia" w:ascii="仿宋_GB2312" w:hAnsi="仿宋_GB2312" w:eastAsia="仿宋_GB2312" w:cs="仿宋_GB2312"/>
          <w:color w:val="auto"/>
          <w:sz w:val="24"/>
          <w:szCs w:val="24"/>
          <w:highlight w:val="none"/>
        </w:rPr>
      </w:pPr>
    </w:p>
    <w:p w14:paraId="40848C67">
      <w:pPr>
        <w:pStyle w:val="10"/>
        <w:numPr>
          <w:ilvl w:val="0"/>
          <w:numId w:val="2"/>
        </w:numPr>
        <w:spacing w:line="360" w:lineRule="auto"/>
        <w:ind w:left="0" w:leftChars="0" w:firstLine="643" w:firstLineChars="200"/>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bCs/>
          <w:spacing w:val="0"/>
          <w:kern w:val="2"/>
          <w:sz w:val="32"/>
          <w:szCs w:val="32"/>
          <w:lang w:val="en-US" w:eastAsia="zh-CN" w:bidi="ar-SA"/>
        </w:rPr>
        <w:t>报价文件编制格式</w:t>
      </w:r>
    </w:p>
    <w:p w14:paraId="3B708AD3">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A916317">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02BE4EE">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C5F6D2D">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FDBD1AF">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D85D960">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28B937EB">
      <w:pPr>
        <w:pStyle w:val="10"/>
        <w:widowControl w:val="0"/>
        <w:numPr>
          <w:ilvl w:val="0"/>
          <w:numId w:val="0"/>
        </w:numPr>
        <w:spacing w:line="360" w:lineRule="auto"/>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汽水管道和受热面支吊架调整施工项目</w:t>
      </w:r>
    </w:p>
    <w:p w14:paraId="72C8456F">
      <w:pPr>
        <w:pStyle w:val="10"/>
        <w:widowControl w:val="0"/>
        <w:numPr>
          <w:ilvl w:val="0"/>
          <w:numId w:val="0"/>
        </w:numPr>
        <w:spacing w:line="360" w:lineRule="auto"/>
        <w:jc w:val="center"/>
        <w:rPr>
          <w:rFonts w:hint="eastAsia" w:ascii="方正小标宋简体" w:hAnsi="方正小标宋简体" w:eastAsia="方正小标宋简体" w:cs="方正小标宋简体"/>
          <w:b/>
          <w:bCs/>
          <w:spacing w:val="0"/>
          <w:kern w:val="2"/>
          <w:sz w:val="32"/>
          <w:szCs w:val="32"/>
          <w:lang w:val="en-US" w:eastAsia="zh-CN" w:bidi="ar-SA"/>
        </w:rPr>
      </w:pPr>
      <w:r>
        <w:rPr>
          <w:rFonts w:hint="eastAsia" w:ascii="方正小标宋简体" w:hAnsi="方正小标宋简体" w:eastAsia="方正小标宋简体" w:cs="方正小标宋简体"/>
          <w:b w:val="0"/>
          <w:bCs w:val="0"/>
          <w:sz w:val="44"/>
          <w:szCs w:val="44"/>
          <w:lang w:eastAsia="zh-CN"/>
        </w:rPr>
        <w:t>报价文件</w:t>
      </w:r>
    </w:p>
    <w:p w14:paraId="61E66350">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4B7A9136">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39FA6FF">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7E02718">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873ABBE">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18EB7ED">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45B852E">
      <w:pPr>
        <w:pStyle w:val="4"/>
        <w:rPr>
          <w:rFonts w:hint="eastAsia" w:ascii="方正小标宋简体" w:hAnsi="方正小标宋简体" w:eastAsia="方正小标宋简体" w:cs="方正小标宋简体"/>
          <w:b w:val="0"/>
          <w:bCs w:val="0"/>
          <w:color w:val="auto"/>
          <w:sz w:val="32"/>
          <w:szCs w:val="32"/>
          <w:highlight w:val="none"/>
          <w:lang w:eastAsia="zh-CN"/>
        </w:rPr>
      </w:pPr>
      <w:r>
        <w:rPr>
          <w:rFonts w:hint="eastAsia" w:ascii="方正小标宋简体" w:hAnsi="方正小标宋简体" w:eastAsia="方正小标宋简体" w:cs="方正小标宋简体"/>
          <w:b w:val="0"/>
          <w:bCs w:val="0"/>
          <w:color w:val="auto"/>
          <w:sz w:val="32"/>
          <w:szCs w:val="32"/>
          <w:highlight w:val="none"/>
          <w:lang w:eastAsia="zh-CN"/>
        </w:rPr>
        <w:t>单位名称：</w:t>
      </w:r>
    </w:p>
    <w:p w14:paraId="2A657C56">
      <w:pP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授权代表：</w:t>
      </w:r>
    </w:p>
    <w:p w14:paraId="4BAEA127">
      <w:pPr>
        <w:pStyle w:val="4"/>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联系方式：</w:t>
      </w:r>
    </w:p>
    <w:p w14:paraId="688A9A9B">
      <w:pPr>
        <w:rPr>
          <w:rFonts w:hint="eastAsia"/>
          <w:lang w:eastAsia="zh-CN"/>
        </w:rPr>
      </w:pPr>
    </w:p>
    <w:p w14:paraId="1D2E5F96">
      <w:pPr>
        <w:pStyle w:val="4"/>
        <w:rPr>
          <w:rFonts w:hint="eastAsia"/>
          <w:lang w:eastAsia="zh-CN"/>
        </w:rPr>
      </w:pPr>
    </w:p>
    <w:p w14:paraId="0B8A352F">
      <w:pPr>
        <w:rPr>
          <w:rFonts w:hint="eastAsia"/>
          <w:lang w:eastAsia="zh-CN"/>
        </w:rPr>
      </w:pPr>
    </w:p>
    <w:p w14:paraId="58BF5A00">
      <w:pPr>
        <w:pStyle w:val="4"/>
        <w:rPr>
          <w:rFonts w:hint="eastAsia"/>
          <w:lang w:eastAsia="zh-CN"/>
        </w:rPr>
      </w:pPr>
    </w:p>
    <w:p w14:paraId="7009C67E">
      <w:pPr>
        <w:rPr>
          <w:rFonts w:hint="eastAsia"/>
          <w:lang w:eastAsia="zh-CN"/>
        </w:rPr>
      </w:pPr>
    </w:p>
    <w:p w14:paraId="42B1B81F">
      <w:pPr>
        <w:pStyle w:val="4"/>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eastAsia="zh-CN"/>
        </w:rPr>
        <w:t>日期：</w:t>
      </w:r>
      <w:r>
        <w:rPr>
          <w:rFonts w:hint="eastAsia" w:ascii="仿宋_GB2312" w:hAnsi="仿宋_GB2312" w:eastAsia="仿宋_GB2312" w:cs="仿宋_GB2312"/>
          <w:b/>
          <w:bCs/>
          <w:sz w:val="30"/>
          <w:szCs w:val="30"/>
          <w:lang w:val="en-US" w:eastAsia="zh-CN"/>
        </w:rPr>
        <w:t xml:space="preserve">   年    月  日</w:t>
      </w:r>
    </w:p>
    <w:p w14:paraId="4A208E8B">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7DBFA76">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p>
    <w:p w14:paraId="1E8B893A">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一、目录</w:t>
      </w:r>
    </w:p>
    <w:p w14:paraId="270957DE">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1.营业执照复印件</w:t>
      </w:r>
    </w:p>
    <w:p w14:paraId="177F03E9">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2.资质证书及安全生产许可证复印件</w:t>
      </w:r>
    </w:p>
    <w:p w14:paraId="7885D2CB">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3.国家企业信用信息公示系统（www.creditchina.gov.cn）企业信用报告或截图</w:t>
      </w:r>
    </w:p>
    <w:p w14:paraId="5BDFC60B">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4.项目报价表及报价明细表（格式详见附件1）</w:t>
      </w:r>
    </w:p>
    <w:p w14:paraId="4A60D463">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5.法定代表人身份证明（格式详见附件2）</w:t>
      </w:r>
    </w:p>
    <w:p w14:paraId="592C0C0E">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6.授权委托书（格式详见附件3）</w:t>
      </w:r>
    </w:p>
    <w:p w14:paraId="747EB6E1">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7.承诺书（格式见附件4）</w:t>
      </w:r>
    </w:p>
    <w:p w14:paraId="6FBAC195">
      <w:pPr>
        <w:pStyle w:val="4"/>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8.资格声明函（格式见附件5）</w:t>
      </w:r>
    </w:p>
    <w:p w14:paraId="71261FD7">
      <w:pPr>
        <w:rPr>
          <w:rFonts w:hint="default"/>
          <w:lang w:val="en-US" w:eastAsia="zh-CN"/>
        </w:rPr>
      </w:pPr>
      <w:r>
        <w:rPr>
          <w:rFonts w:hint="eastAsia" w:ascii="仿宋_GB2312" w:hAnsi="仿宋_GB2312" w:eastAsia="仿宋_GB2312" w:cs="仿宋_GB2312"/>
          <w:color w:val="auto"/>
          <w:sz w:val="24"/>
          <w:highlight w:val="none"/>
          <w:lang w:val="en-US" w:eastAsia="zh-CN"/>
        </w:rPr>
        <w:t>9.人员配备表（格式见附件6）</w:t>
      </w:r>
    </w:p>
    <w:p w14:paraId="6D7318E7">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61567E3D">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516107DB">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0C5CFE07">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2A5C343">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984349A">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7534A314">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4A98AD7">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15DD987A">
      <w:pPr>
        <w:pStyle w:val="10"/>
        <w:widowControl w:val="0"/>
        <w:numPr>
          <w:ilvl w:val="0"/>
          <w:numId w:val="0"/>
        </w:numPr>
        <w:spacing w:line="360" w:lineRule="auto"/>
        <w:jc w:val="center"/>
        <w:rPr>
          <w:rFonts w:hint="default" w:ascii="方正小标宋简体" w:hAnsi="方正小标宋简体" w:eastAsia="方正小标宋简体" w:cs="方正小标宋简体"/>
          <w:b/>
          <w:bCs/>
          <w:spacing w:val="0"/>
          <w:kern w:val="2"/>
          <w:sz w:val="32"/>
          <w:szCs w:val="32"/>
          <w:lang w:val="en-US" w:eastAsia="zh-CN" w:bidi="ar-SA"/>
        </w:rPr>
      </w:pPr>
    </w:p>
    <w:p w14:paraId="376A50F7">
      <w:pPr>
        <w:rPr>
          <w:rFonts w:hint="eastAsia" w:ascii="仿宋_GB2312" w:hAnsi="仿宋_GB2312" w:eastAsia="仿宋_GB2312" w:cs="仿宋_GB2312"/>
          <w:b/>
          <w:bCs/>
          <w:color w:val="auto"/>
          <w:sz w:val="24"/>
          <w:szCs w:val="24"/>
          <w:highlight w:val="none"/>
          <w:lang w:eastAsia="zh-CN"/>
        </w:rPr>
      </w:pPr>
    </w:p>
    <w:p w14:paraId="00D05D93">
      <w:pPr>
        <w:rPr>
          <w:rFonts w:hint="eastAsia" w:ascii="仿宋_GB2312" w:hAnsi="仿宋_GB2312" w:eastAsia="仿宋_GB2312" w:cs="仿宋_GB2312"/>
          <w:b/>
          <w:bCs/>
          <w:color w:val="auto"/>
          <w:sz w:val="24"/>
          <w:szCs w:val="24"/>
          <w:highlight w:val="none"/>
          <w:lang w:eastAsia="zh-CN"/>
        </w:rPr>
      </w:pPr>
    </w:p>
    <w:p w14:paraId="6DE0467F">
      <w:pPr>
        <w:rPr>
          <w:rFonts w:hint="eastAsia" w:ascii="仿宋_GB2312" w:hAnsi="仿宋_GB2312" w:eastAsia="仿宋_GB2312" w:cs="仿宋_GB2312"/>
          <w:b/>
          <w:bCs/>
          <w:color w:val="auto"/>
          <w:sz w:val="24"/>
          <w:szCs w:val="24"/>
          <w:highlight w:val="none"/>
          <w:lang w:eastAsia="zh-CN"/>
        </w:rPr>
      </w:pPr>
    </w:p>
    <w:p w14:paraId="5CA817D1">
      <w:pPr>
        <w:rPr>
          <w:rFonts w:hint="eastAsia" w:ascii="仿宋_GB2312" w:hAnsi="仿宋_GB2312" w:eastAsia="仿宋_GB2312" w:cs="仿宋_GB2312"/>
          <w:b/>
          <w:bCs/>
          <w:color w:val="auto"/>
          <w:sz w:val="24"/>
          <w:szCs w:val="24"/>
          <w:highlight w:val="none"/>
          <w:lang w:eastAsia="zh-CN"/>
        </w:rPr>
      </w:pPr>
    </w:p>
    <w:p w14:paraId="4C59DC46">
      <w:pPr>
        <w:rPr>
          <w:rFonts w:hint="eastAsia" w:ascii="仿宋_GB2312" w:hAnsi="仿宋_GB2312" w:eastAsia="仿宋_GB2312" w:cs="仿宋_GB2312"/>
          <w:b/>
          <w:bCs/>
          <w:color w:val="auto"/>
          <w:sz w:val="24"/>
          <w:szCs w:val="24"/>
          <w:highlight w:val="none"/>
          <w:lang w:eastAsia="zh-CN"/>
        </w:rPr>
      </w:pPr>
    </w:p>
    <w:p w14:paraId="72089EEF">
      <w:pPr>
        <w:rPr>
          <w:rFonts w:hint="eastAsia" w:ascii="仿宋_GB2312" w:hAnsi="仿宋_GB2312" w:eastAsia="仿宋_GB2312" w:cs="仿宋_GB2312"/>
          <w:b/>
          <w:bCs/>
          <w:color w:val="auto"/>
          <w:sz w:val="24"/>
          <w:szCs w:val="24"/>
          <w:highlight w:val="none"/>
          <w:lang w:eastAsia="zh-CN"/>
        </w:rPr>
      </w:pPr>
    </w:p>
    <w:p w14:paraId="1A0BB201">
      <w:pPr>
        <w:rPr>
          <w:rFonts w:hint="eastAsia" w:ascii="仿宋_GB2312" w:hAnsi="仿宋_GB2312" w:eastAsia="仿宋_GB2312" w:cs="仿宋_GB2312"/>
          <w:b/>
          <w:bCs/>
          <w:color w:val="auto"/>
          <w:sz w:val="24"/>
          <w:szCs w:val="24"/>
          <w:highlight w:val="none"/>
          <w:lang w:eastAsia="zh-CN"/>
        </w:rPr>
      </w:pPr>
    </w:p>
    <w:p w14:paraId="34613987">
      <w:pPr>
        <w:rPr>
          <w:rFonts w:hint="eastAsia" w:ascii="仿宋_GB2312" w:hAnsi="仿宋_GB2312" w:eastAsia="仿宋_GB2312" w:cs="仿宋_GB2312"/>
          <w:b/>
          <w:bCs/>
          <w:color w:val="auto"/>
          <w:sz w:val="24"/>
          <w:szCs w:val="24"/>
          <w:highlight w:val="none"/>
          <w:lang w:eastAsia="zh-CN"/>
        </w:rPr>
      </w:pPr>
    </w:p>
    <w:p w14:paraId="1C0A3C35">
      <w:pPr>
        <w:rPr>
          <w:rFonts w:hint="eastAsia" w:ascii="仿宋_GB2312" w:hAnsi="仿宋_GB2312" w:eastAsia="仿宋_GB2312" w:cs="仿宋_GB2312"/>
          <w:b/>
          <w:bCs/>
          <w:color w:val="auto"/>
          <w:sz w:val="24"/>
          <w:szCs w:val="24"/>
          <w:highlight w:val="none"/>
          <w:lang w:eastAsia="zh-CN"/>
        </w:rPr>
      </w:pPr>
    </w:p>
    <w:p w14:paraId="3CCED385">
      <w:pPr>
        <w:rPr>
          <w:rFonts w:hint="eastAsia" w:ascii="仿宋_GB2312" w:hAnsi="仿宋_GB2312" w:eastAsia="仿宋_GB2312" w:cs="仿宋_GB2312"/>
          <w:b/>
          <w:bCs/>
          <w:color w:val="auto"/>
          <w:sz w:val="24"/>
          <w:szCs w:val="24"/>
          <w:highlight w:val="none"/>
          <w:lang w:eastAsia="zh-CN"/>
        </w:rPr>
      </w:pPr>
    </w:p>
    <w:p w14:paraId="3C9CF375">
      <w:pP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1：</w:t>
      </w:r>
    </w:p>
    <w:p w14:paraId="5A133419">
      <w:pPr>
        <w:pStyle w:val="10"/>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项目报价表</w:t>
      </w:r>
    </w:p>
    <w:tbl>
      <w:tblPr>
        <w:tblStyle w:val="7"/>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257"/>
        <w:gridCol w:w="2154"/>
        <w:gridCol w:w="1326"/>
        <w:gridCol w:w="3001"/>
      </w:tblGrid>
      <w:tr w14:paraId="6E1E9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96" w:hRule="atLeast"/>
          <w:jc w:val="center"/>
        </w:trPr>
        <w:tc>
          <w:tcPr>
            <w:tcW w:w="3257" w:type="dxa"/>
            <w:noWrap w:val="0"/>
            <w:vAlign w:val="center"/>
          </w:tcPr>
          <w:p w14:paraId="6D450076">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项目或内容</w:t>
            </w:r>
          </w:p>
        </w:tc>
        <w:tc>
          <w:tcPr>
            <w:tcW w:w="2154" w:type="dxa"/>
            <w:noWrap w:val="0"/>
            <w:vAlign w:val="center"/>
          </w:tcPr>
          <w:p w14:paraId="3B3C375E">
            <w:pPr>
              <w:pStyle w:val="3"/>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p w14:paraId="1EE8DBE9">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p>
          <w:p w14:paraId="3EB1E1BF">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eastAsia="zh-CN"/>
              </w:rPr>
              <w:t>综合含税总报价（元）</w:t>
            </w:r>
          </w:p>
          <w:p w14:paraId="630EEAB3">
            <w:pPr>
              <w:pStyle w:val="3"/>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p>
        </w:tc>
        <w:tc>
          <w:tcPr>
            <w:tcW w:w="1326" w:type="dxa"/>
            <w:noWrap w:val="0"/>
            <w:vAlign w:val="center"/>
          </w:tcPr>
          <w:p w14:paraId="3C6A5D38">
            <w:pPr>
              <w:pStyle w:val="3"/>
              <w:keepNext w:val="0"/>
              <w:keepLines w:val="0"/>
              <w:suppressLineNumbers w:val="0"/>
              <w:spacing w:before="0" w:beforeAutospacing="0" w:after="0" w:afterAutospacing="0"/>
              <w:ind w:left="0" w:right="0" w:firstLine="0"/>
              <w:jc w:val="center"/>
              <w:rPr>
                <w:rFonts w:hint="eastAsia" w:ascii="仿宋_GB2312" w:hAnsi="仿宋_GB2312" w:eastAsia="仿宋_GB2312" w:cs="仿宋_GB2312"/>
                <w:szCs w:val="24"/>
                <w:lang w:eastAsia="zh-CN"/>
              </w:rPr>
            </w:pPr>
            <w:r>
              <w:rPr>
                <w:rFonts w:hint="eastAsia" w:ascii="仿宋_GB2312" w:hAnsi="仿宋_GB2312" w:eastAsia="仿宋_GB2312" w:cs="仿宋_GB2312"/>
                <w:szCs w:val="24"/>
                <w:lang w:eastAsia="zh-CN"/>
              </w:rPr>
              <w:t>税率</w:t>
            </w:r>
          </w:p>
        </w:tc>
        <w:tc>
          <w:tcPr>
            <w:tcW w:w="3001" w:type="dxa"/>
            <w:noWrap w:val="0"/>
            <w:vAlign w:val="center"/>
          </w:tcPr>
          <w:p w14:paraId="1468851F">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r>
              <w:rPr>
                <w:rFonts w:hint="eastAsia" w:ascii="仿宋_GB2312" w:hAnsi="仿宋_GB2312" w:eastAsia="仿宋_GB2312" w:cs="仿宋_GB2312"/>
                <w:b w:val="0"/>
                <w:bCs/>
                <w:sz w:val="24"/>
              </w:rPr>
              <w:t>备注</w:t>
            </w:r>
          </w:p>
        </w:tc>
      </w:tr>
      <w:tr w14:paraId="59730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3836E233">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汽水管道和受热面支吊架调整施工项目</w:t>
            </w:r>
          </w:p>
        </w:tc>
        <w:tc>
          <w:tcPr>
            <w:tcW w:w="2154" w:type="dxa"/>
            <w:noWrap w:val="0"/>
            <w:vAlign w:val="center"/>
          </w:tcPr>
          <w:p w14:paraId="1ED82DA6">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1326" w:type="dxa"/>
            <w:noWrap w:val="0"/>
            <w:vAlign w:val="center"/>
          </w:tcPr>
          <w:p w14:paraId="04371C7D">
            <w:pPr>
              <w:keepNext w:val="0"/>
              <w:keepLines w:val="0"/>
              <w:suppressLineNumbers w:val="0"/>
              <w:spacing w:before="0" w:beforeAutospacing="0" w:after="0" w:afterAutospacing="0" w:line="240" w:lineRule="auto"/>
              <w:ind w:left="0" w:right="0"/>
              <w:jc w:val="center"/>
              <w:rPr>
                <w:rFonts w:hint="eastAsia" w:ascii="仿宋_GB2312" w:hAnsi="仿宋_GB2312" w:eastAsia="仿宋_GB2312" w:cs="仿宋_GB2312"/>
                <w:b w:val="0"/>
                <w:bCs/>
                <w:sz w:val="24"/>
              </w:rPr>
            </w:pPr>
          </w:p>
        </w:tc>
        <w:tc>
          <w:tcPr>
            <w:tcW w:w="3001" w:type="dxa"/>
            <w:noWrap w:val="0"/>
            <w:vAlign w:val="center"/>
          </w:tcPr>
          <w:p w14:paraId="5F389643">
            <w:pPr>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none"/>
                <w:lang w:val="en-US" w:eastAsia="zh-CN"/>
              </w:rPr>
              <w:t>综合含税总报价为</w:t>
            </w:r>
            <w:r>
              <w:rPr>
                <w:rFonts w:hint="eastAsia" w:ascii="仿宋_GB2312" w:hAnsi="仿宋_GB2312" w:eastAsia="仿宋_GB2312" w:cs="仿宋_GB2312"/>
                <w:bCs/>
                <w:color w:val="auto"/>
                <w:sz w:val="24"/>
                <w:highlight w:val="none"/>
              </w:rPr>
              <w:t>汽水管道和受热面支吊架调整施工项目</w:t>
            </w:r>
            <w:r>
              <w:rPr>
                <w:rFonts w:hint="eastAsia" w:ascii="仿宋_GB2312" w:hAnsi="仿宋_GB2312" w:eastAsia="仿宋_GB2312" w:cs="仿宋_GB2312"/>
                <w:bCs/>
                <w:color w:val="auto"/>
                <w:sz w:val="24"/>
                <w:highlight w:val="none"/>
                <w:lang w:eastAsia="zh-CN"/>
              </w:rPr>
              <w:t>全部工作</w:t>
            </w:r>
            <w:r>
              <w:rPr>
                <w:rFonts w:hint="eastAsia" w:ascii="仿宋_GB2312" w:hAnsi="仿宋_GB2312" w:eastAsia="仿宋_GB2312" w:cs="仿宋_GB2312"/>
                <w:bCs/>
                <w:color w:val="auto"/>
                <w:sz w:val="24"/>
                <w:highlight w:val="none"/>
                <w:lang w:val="en-US" w:eastAsia="zh-CN"/>
              </w:rPr>
              <w:t>内容的全部费用</w:t>
            </w:r>
            <w:r>
              <w:rPr>
                <w:rFonts w:hint="eastAsia" w:ascii="仿宋_GB2312" w:hAnsi="仿宋_GB2312" w:eastAsia="仿宋_GB2312" w:cs="仿宋_GB2312"/>
                <w:b w:val="0"/>
                <w:bCs/>
                <w:color w:val="auto"/>
                <w:kern w:val="2"/>
                <w:sz w:val="24"/>
                <w:szCs w:val="24"/>
                <w:highlight w:val="none"/>
                <w:lang w:val="en-US" w:eastAsia="zh-CN" w:bidi="ar-SA"/>
              </w:rPr>
              <w:t>。</w:t>
            </w:r>
          </w:p>
        </w:tc>
      </w:tr>
      <w:tr w14:paraId="1DCCA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75C98DF6">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lang w:eastAsia="zh-CN"/>
              </w:rPr>
              <w:t>综合含税总价金额</w:t>
            </w:r>
            <w:r>
              <w:rPr>
                <w:rFonts w:hint="eastAsia" w:ascii="仿宋_GB2312" w:hAnsi="仿宋_GB2312" w:eastAsia="仿宋_GB2312" w:cs="仿宋_GB2312"/>
                <w:b w:val="0"/>
                <w:bCs w:val="0"/>
                <w:sz w:val="24"/>
                <w:u w:val="none"/>
                <w:lang w:eastAsia="zh-CN"/>
              </w:rPr>
              <w:t>大写：</w:t>
            </w:r>
          </w:p>
        </w:tc>
        <w:tc>
          <w:tcPr>
            <w:tcW w:w="6481" w:type="dxa"/>
            <w:gridSpan w:val="3"/>
            <w:noWrap w:val="0"/>
            <w:vAlign w:val="center"/>
          </w:tcPr>
          <w:p w14:paraId="47A058A3">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r>
      <w:tr w14:paraId="34197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2" w:hRule="atLeast"/>
          <w:jc w:val="center"/>
        </w:trPr>
        <w:tc>
          <w:tcPr>
            <w:tcW w:w="3257" w:type="dxa"/>
            <w:noWrap w:val="0"/>
            <w:vAlign w:val="center"/>
          </w:tcPr>
          <w:p w14:paraId="400C6BAE">
            <w:pPr>
              <w:keepNext w:val="0"/>
              <w:keepLines w:val="0"/>
              <w:suppressLineNumbers w:val="0"/>
              <w:spacing w:before="0" w:beforeAutospacing="0" w:after="0" w:afterAutospacing="0" w:line="240" w:lineRule="auto"/>
              <w:ind w:left="0" w:leftChars="0" w:right="0" w:rightChars="0" w:firstLine="480" w:firstLineChars="200"/>
              <w:jc w:val="center"/>
              <w:rPr>
                <w:rFonts w:hint="eastAsia" w:ascii="仿宋_GB2312" w:hAnsi="仿宋_GB2312" w:eastAsia="仿宋_GB2312" w:cs="仿宋_GB2312"/>
                <w:b w:val="0"/>
                <w:bCs/>
                <w:sz w:val="24"/>
                <w:lang w:eastAsia="zh-CN"/>
              </w:rPr>
            </w:pPr>
            <w:r>
              <w:rPr>
                <w:rFonts w:hint="eastAsia" w:ascii="仿宋_GB2312" w:hAnsi="仿宋_GB2312" w:eastAsia="仿宋_GB2312" w:cs="仿宋_GB2312"/>
                <w:b w:val="0"/>
                <w:bCs/>
                <w:sz w:val="24"/>
                <w:lang w:eastAsia="zh-CN"/>
              </w:rPr>
              <w:t>其中：安全文明施工费</w:t>
            </w:r>
          </w:p>
        </w:tc>
        <w:tc>
          <w:tcPr>
            <w:tcW w:w="3480" w:type="dxa"/>
            <w:gridSpan w:val="2"/>
            <w:noWrap w:val="0"/>
            <w:vAlign w:val="center"/>
          </w:tcPr>
          <w:p w14:paraId="5D907934">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p>
        </w:tc>
        <w:tc>
          <w:tcPr>
            <w:tcW w:w="3001" w:type="dxa"/>
            <w:noWrap w:val="0"/>
            <w:vAlign w:val="center"/>
          </w:tcPr>
          <w:p w14:paraId="2A289F22">
            <w:pPr>
              <w:keepNext w:val="0"/>
              <w:keepLines w:val="0"/>
              <w:suppressLineNumbers w:val="0"/>
              <w:spacing w:before="0" w:beforeAutospacing="0" w:after="0" w:afterAutospacing="0" w:line="240" w:lineRule="auto"/>
              <w:ind w:left="0" w:leftChars="0" w:right="0" w:rightChars="0"/>
              <w:jc w:val="center"/>
              <w:rPr>
                <w:rFonts w:hint="eastAsia" w:ascii="仿宋_GB2312" w:hAnsi="仿宋_GB2312" w:eastAsia="仿宋_GB2312" w:cs="仿宋_GB2312"/>
                <w:b w:val="0"/>
                <w:bCs w:val="0"/>
                <w:kern w:val="2"/>
                <w:sz w:val="24"/>
                <w:szCs w:val="24"/>
                <w:u w:val="single"/>
                <w:lang w:val="en-US" w:eastAsia="zh-CN" w:bidi="ar-SA"/>
              </w:rPr>
            </w:pPr>
            <w:r>
              <w:rPr>
                <w:rFonts w:hint="eastAsia" w:ascii="仿宋_GB2312" w:hAnsi="仿宋_GB2312" w:eastAsia="仿宋_GB2312" w:cs="仿宋_GB2312"/>
                <w:bCs/>
                <w:color w:val="FF0000"/>
                <w:sz w:val="24"/>
                <w:highlight w:val="none"/>
              </w:rPr>
              <w:t>此项为必填项，该费用为固定价，金额为汽水管道和受热面支吊架调整施工项目综合含税总报价的2.5%</w:t>
            </w:r>
          </w:p>
        </w:tc>
      </w:tr>
    </w:tbl>
    <w:p w14:paraId="765042D0">
      <w:pPr>
        <w:spacing w:line="360" w:lineRule="auto"/>
        <w:ind w:firstLine="482"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b/>
          <w:bCs/>
          <w:color w:val="auto"/>
          <w:sz w:val="24"/>
          <w:lang w:eastAsia="zh-CN"/>
        </w:rPr>
        <w:t>注</w:t>
      </w:r>
      <w:r>
        <w:rPr>
          <w:rFonts w:hint="eastAsia" w:ascii="仿宋_GB2312" w:hAnsi="仿宋_GB2312" w:eastAsia="仿宋_GB2312" w:cs="仿宋_GB2312"/>
          <w:color w:val="auto"/>
          <w:sz w:val="24"/>
          <w:lang w:eastAsia="zh-CN"/>
        </w:rPr>
        <w:t>：</w:t>
      </w:r>
    </w:p>
    <w:p w14:paraId="0DD1CA75">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color w:val="FF0000"/>
          <w:sz w:val="24"/>
          <w:lang w:val="en-US" w:eastAsia="zh-CN"/>
        </w:rPr>
        <w:t>综合含税总价中包含安全文明施工费（该费用为固定价，为综合含税总报价的2.5%）</w:t>
      </w:r>
      <w:r>
        <w:rPr>
          <w:rFonts w:hint="eastAsia" w:ascii="仿宋_GB2312" w:hAnsi="仿宋_GB2312" w:eastAsia="仿宋_GB2312" w:cs="仿宋_GB2312"/>
          <w:sz w:val="24"/>
          <w:lang w:val="en-US" w:eastAsia="zh-CN"/>
        </w:rPr>
        <w:t>，合同履行期间，乙方应按照此项报价足额投入安全文明施工费。</w:t>
      </w:r>
    </w:p>
    <w:p w14:paraId="736224B4">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2.报价有效期为报价截止之日起90天（到期日为周末或法定节假日的，顺延至下一个工作日）。</w:t>
      </w:r>
    </w:p>
    <w:p w14:paraId="0BFC56AF">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3.法定代表人亲自报价的，应提供法定代表人身份证明；非报价单位法定代表人亲自报价的，应提供授权委托书（经法定代表人签字并加盖公司公章，授权范围应至少包括报价、谈判、签订合同）。</w:t>
      </w:r>
    </w:p>
    <w:p w14:paraId="0033765E">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4.本报价单标注的实质性条款为项目合同的主要条款，若中选，报价人不得要求对实质性条款作出实质性修改，否则采购人有权取消其中选资格。</w:t>
      </w:r>
    </w:p>
    <w:p w14:paraId="1B6EC230">
      <w:pPr>
        <w:numPr>
          <w:ilvl w:val="0"/>
          <w:numId w:val="0"/>
        </w:numPr>
        <w:spacing w:line="360" w:lineRule="auto"/>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5.本项目第一次报价截至后报价人不足三家，采购人选择进行第二次竞争性谈判的，本报价及报价文件仍有效，采购人有权不退回且将该报价与本项目第二次报价中的其他报价人一起作为本项目评审对象。</w:t>
      </w:r>
    </w:p>
    <w:p w14:paraId="2EFB938A">
      <w:pPr>
        <w:pStyle w:val="10"/>
        <w:jc w:val="center"/>
        <w:rPr>
          <w:rFonts w:hint="eastAsia"/>
          <w:b/>
          <w:bCs w:val="0"/>
          <w:lang w:val="en-US" w:eastAsia="zh-CN"/>
        </w:rPr>
      </w:pPr>
      <w:r>
        <w:rPr>
          <w:rFonts w:hint="eastAsia" w:ascii="仿宋_GB2312" w:hAnsi="仿宋_GB2312" w:eastAsia="仿宋_GB2312" w:cs="仿宋_GB2312"/>
          <w:b/>
          <w:bCs w:val="0"/>
          <w:sz w:val="24"/>
          <w:lang w:val="en-US" w:eastAsia="zh-CN"/>
        </w:rPr>
        <w:t>报价明细表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8"/>
        <w:gridCol w:w="1520"/>
        <w:gridCol w:w="799"/>
        <w:gridCol w:w="1516"/>
        <w:gridCol w:w="1006"/>
        <w:gridCol w:w="1136"/>
        <w:gridCol w:w="1324"/>
      </w:tblGrid>
      <w:tr w14:paraId="6E2B6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9" w:hRule="atLeast"/>
          <w:tblHeader/>
          <w:jc w:val="center"/>
        </w:trPr>
        <w:tc>
          <w:tcPr>
            <w:tcW w:w="818" w:type="dxa"/>
            <w:tcBorders>
              <w:top w:val="single" w:color="auto" w:sz="12" w:space="0"/>
              <w:left w:val="single" w:color="auto" w:sz="12" w:space="0"/>
              <w:bottom w:val="double" w:color="auto" w:sz="6" w:space="0"/>
              <w:right w:val="single" w:color="auto" w:sz="6" w:space="0"/>
            </w:tcBorders>
            <w:noWrap w:val="0"/>
            <w:vAlign w:val="center"/>
          </w:tcPr>
          <w:p w14:paraId="28E428CA">
            <w:pPr>
              <w:pStyle w:val="14"/>
              <w:autoSpaceDE w:val="0"/>
              <w:autoSpaceDN w:val="0"/>
              <w:textAlignment w:val="bottom"/>
              <w:rPr>
                <w:rFonts w:hAnsi="宋体"/>
                <w:b/>
                <w:color w:val="auto"/>
                <w:szCs w:val="21"/>
                <w:highlight w:val="none"/>
                <w:shd w:val="clear" w:color="auto" w:fill="auto"/>
              </w:rPr>
            </w:pPr>
            <w:r>
              <w:rPr>
                <w:rFonts w:hint="eastAsia" w:hAnsi="宋体"/>
                <w:b/>
                <w:color w:val="auto"/>
                <w:szCs w:val="21"/>
                <w:highlight w:val="none"/>
                <w:shd w:val="clear" w:color="auto" w:fill="auto"/>
              </w:rPr>
              <w:t>序号</w:t>
            </w:r>
          </w:p>
        </w:tc>
        <w:tc>
          <w:tcPr>
            <w:tcW w:w="1520" w:type="dxa"/>
            <w:tcBorders>
              <w:top w:val="single" w:color="auto" w:sz="12" w:space="0"/>
              <w:left w:val="single" w:color="auto" w:sz="6" w:space="0"/>
              <w:bottom w:val="double" w:color="auto" w:sz="6" w:space="0"/>
              <w:right w:val="single" w:color="auto" w:sz="6" w:space="0"/>
            </w:tcBorders>
            <w:noWrap w:val="0"/>
            <w:vAlign w:val="center"/>
          </w:tcPr>
          <w:p w14:paraId="61B99185">
            <w:pPr>
              <w:pStyle w:val="14"/>
              <w:autoSpaceDE w:val="0"/>
              <w:autoSpaceDN w:val="0"/>
              <w:spacing w:before="180"/>
              <w:textAlignment w:val="bottom"/>
              <w:rPr>
                <w:rFonts w:hAnsi="宋体"/>
                <w:b/>
                <w:color w:val="auto"/>
                <w:szCs w:val="21"/>
                <w:highlight w:val="none"/>
                <w:shd w:val="clear" w:color="auto" w:fill="auto"/>
              </w:rPr>
            </w:pPr>
            <w:r>
              <w:rPr>
                <w:rFonts w:hint="eastAsia" w:hAnsi="宋体"/>
                <w:b/>
                <w:color w:val="auto"/>
                <w:szCs w:val="21"/>
                <w:highlight w:val="none"/>
                <w:shd w:val="clear" w:color="auto" w:fill="auto"/>
                <w:lang w:eastAsia="zh-CN"/>
              </w:rPr>
              <w:t>项目</w:t>
            </w:r>
            <w:r>
              <w:rPr>
                <w:rFonts w:hint="eastAsia" w:hAnsi="宋体"/>
                <w:b/>
                <w:color w:val="auto"/>
                <w:szCs w:val="21"/>
                <w:highlight w:val="none"/>
                <w:shd w:val="clear" w:color="auto" w:fill="auto"/>
              </w:rPr>
              <w:t>名称</w:t>
            </w:r>
          </w:p>
        </w:tc>
        <w:tc>
          <w:tcPr>
            <w:tcW w:w="799" w:type="dxa"/>
            <w:tcBorders>
              <w:top w:val="single" w:color="auto" w:sz="12" w:space="0"/>
              <w:left w:val="single" w:color="auto" w:sz="6" w:space="0"/>
              <w:bottom w:val="double" w:color="auto" w:sz="6" w:space="0"/>
              <w:right w:val="single" w:color="auto" w:sz="6" w:space="0"/>
            </w:tcBorders>
            <w:noWrap w:val="0"/>
            <w:vAlign w:val="center"/>
          </w:tcPr>
          <w:p w14:paraId="110A7AF9">
            <w:pPr>
              <w:pStyle w:val="14"/>
              <w:autoSpaceDE w:val="0"/>
              <w:autoSpaceDN w:val="0"/>
              <w:spacing w:before="180"/>
              <w:textAlignment w:val="bottom"/>
              <w:rPr>
                <w:rFonts w:hAnsi="宋体"/>
                <w:b/>
                <w:color w:val="auto"/>
                <w:szCs w:val="21"/>
                <w:highlight w:val="none"/>
                <w:shd w:val="clear" w:color="auto" w:fill="auto"/>
              </w:rPr>
            </w:pPr>
            <w:r>
              <w:rPr>
                <w:rFonts w:hint="eastAsia" w:hAnsi="宋体"/>
                <w:b/>
                <w:color w:val="auto"/>
                <w:szCs w:val="21"/>
                <w:highlight w:val="none"/>
                <w:shd w:val="clear" w:color="auto" w:fill="auto"/>
              </w:rPr>
              <w:t>数量</w:t>
            </w:r>
          </w:p>
        </w:tc>
        <w:tc>
          <w:tcPr>
            <w:tcW w:w="1516" w:type="dxa"/>
            <w:tcBorders>
              <w:top w:val="single" w:color="auto" w:sz="12" w:space="0"/>
              <w:left w:val="single" w:color="auto" w:sz="6" w:space="0"/>
              <w:bottom w:val="double" w:color="auto" w:sz="6" w:space="0"/>
              <w:right w:val="single" w:color="auto" w:sz="6" w:space="0"/>
            </w:tcBorders>
            <w:noWrap w:val="0"/>
            <w:vAlign w:val="center"/>
          </w:tcPr>
          <w:p w14:paraId="73587792">
            <w:pPr>
              <w:pStyle w:val="14"/>
              <w:autoSpaceDE w:val="0"/>
              <w:autoSpaceDN w:val="0"/>
              <w:spacing w:before="180"/>
              <w:textAlignment w:val="bottom"/>
              <w:rPr>
                <w:rFonts w:hAnsi="宋体"/>
                <w:b/>
                <w:color w:val="auto"/>
                <w:szCs w:val="21"/>
                <w:highlight w:val="none"/>
                <w:shd w:val="clear" w:color="auto" w:fill="auto"/>
              </w:rPr>
            </w:pPr>
            <w:r>
              <w:rPr>
                <w:rFonts w:hint="eastAsia" w:hAnsi="宋体"/>
                <w:b/>
                <w:color w:val="auto"/>
                <w:szCs w:val="21"/>
                <w:highlight w:val="none"/>
                <w:shd w:val="clear" w:color="auto" w:fill="auto"/>
                <w:lang w:eastAsia="zh-CN"/>
              </w:rPr>
              <w:t>单位</w:t>
            </w:r>
          </w:p>
        </w:tc>
        <w:tc>
          <w:tcPr>
            <w:tcW w:w="1006" w:type="dxa"/>
            <w:tcBorders>
              <w:top w:val="single" w:color="auto" w:sz="12" w:space="0"/>
              <w:left w:val="single" w:color="auto" w:sz="4" w:space="0"/>
              <w:bottom w:val="double" w:color="auto" w:sz="6" w:space="0"/>
              <w:right w:val="single" w:color="auto" w:sz="4" w:space="0"/>
            </w:tcBorders>
            <w:noWrap w:val="0"/>
            <w:vAlign w:val="center"/>
          </w:tcPr>
          <w:p w14:paraId="73AE8DDC">
            <w:pPr>
              <w:pStyle w:val="14"/>
              <w:autoSpaceDE w:val="0"/>
              <w:autoSpaceDN w:val="0"/>
              <w:spacing w:before="180"/>
              <w:textAlignment w:val="bottom"/>
              <w:rPr>
                <w:rFonts w:hint="eastAsia" w:hAnsi="宋体" w:eastAsia="宋体"/>
                <w:b/>
                <w:color w:val="auto"/>
                <w:szCs w:val="21"/>
                <w:highlight w:val="none"/>
                <w:shd w:val="clear" w:color="auto" w:fill="auto"/>
                <w:lang w:eastAsia="zh-CN"/>
              </w:rPr>
            </w:pPr>
            <w:r>
              <w:rPr>
                <w:rFonts w:hint="eastAsia" w:hAnsi="宋体"/>
                <w:b/>
                <w:color w:val="auto"/>
                <w:szCs w:val="21"/>
                <w:highlight w:val="none"/>
                <w:shd w:val="clear" w:color="auto" w:fill="auto"/>
              </w:rPr>
              <w:t>单价</w:t>
            </w:r>
            <w:r>
              <w:rPr>
                <w:rFonts w:hint="eastAsia" w:hAnsi="宋体"/>
                <w:b/>
                <w:color w:val="auto"/>
                <w:szCs w:val="21"/>
                <w:highlight w:val="none"/>
                <w:shd w:val="clear" w:color="auto" w:fill="auto"/>
                <w:lang w:eastAsia="zh-CN"/>
              </w:rPr>
              <w:t>（元）</w:t>
            </w:r>
          </w:p>
        </w:tc>
        <w:tc>
          <w:tcPr>
            <w:tcW w:w="1136" w:type="dxa"/>
            <w:tcBorders>
              <w:top w:val="single" w:color="auto" w:sz="12" w:space="0"/>
              <w:left w:val="single" w:color="auto" w:sz="4" w:space="0"/>
              <w:bottom w:val="double" w:color="auto" w:sz="6" w:space="0"/>
              <w:right w:val="single" w:color="auto" w:sz="4" w:space="0"/>
            </w:tcBorders>
            <w:noWrap w:val="0"/>
            <w:vAlign w:val="center"/>
          </w:tcPr>
          <w:p w14:paraId="0ED468C5">
            <w:pPr>
              <w:pStyle w:val="14"/>
              <w:autoSpaceDE w:val="0"/>
              <w:autoSpaceDN w:val="0"/>
              <w:spacing w:before="180"/>
              <w:textAlignment w:val="bottom"/>
              <w:rPr>
                <w:rFonts w:hint="eastAsia" w:hAnsi="宋体" w:eastAsia="宋体"/>
                <w:b/>
                <w:color w:val="auto"/>
                <w:szCs w:val="21"/>
                <w:highlight w:val="none"/>
                <w:shd w:val="clear" w:color="auto" w:fill="auto"/>
                <w:lang w:eastAsia="zh-CN"/>
              </w:rPr>
            </w:pPr>
            <w:r>
              <w:rPr>
                <w:rFonts w:hint="eastAsia" w:hAnsi="宋体"/>
                <w:b/>
                <w:color w:val="auto"/>
                <w:szCs w:val="21"/>
                <w:highlight w:val="none"/>
                <w:shd w:val="clear" w:color="auto" w:fill="auto"/>
              </w:rPr>
              <w:t>总价</w:t>
            </w:r>
            <w:r>
              <w:rPr>
                <w:rFonts w:hint="eastAsia" w:hAnsi="宋体"/>
                <w:b/>
                <w:color w:val="auto"/>
                <w:szCs w:val="21"/>
                <w:highlight w:val="none"/>
                <w:shd w:val="clear" w:color="auto" w:fill="auto"/>
                <w:lang w:eastAsia="zh-CN"/>
              </w:rPr>
              <w:t>（元）</w:t>
            </w:r>
          </w:p>
        </w:tc>
        <w:tc>
          <w:tcPr>
            <w:tcW w:w="1324" w:type="dxa"/>
            <w:tcBorders>
              <w:top w:val="single" w:color="auto" w:sz="12" w:space="0"/>
              <w:left w:val="single" w:color="auto" w:sz="4" w:space="0"/>
              <w:bottom w:val="double" w:color="auto" w:sz="6" w:space="0"/>
              <w:right w:val="single" w:color="auto" w:sz="12" w:space="0"/>
            </w:tcBorders>
            <w:noWrap w:val="0"/>
            <w:vAlign w:val="center"/>
          </w:tcPr>
          <w:p w14:paraId="3379FBC6">
            <w:pPr>
              <w:pStyle w:val="14"/>
              <w:autoSpaceDE w:val="0"/>
              <w:autoSpaceDN w:val="0"/>
              <w:spacing w:before="180"/>
              <w:textAlignment w:val="bottom"/>
              <w:rPr>
                <w:rFonts w:hAnsi="宋体"/>
                <w:b/>
                <w:color w:val="auto"/>
                <w:szCs w:val="21"/>
                <w:highlight w:val="none"/>
                <w:shd w:val="clear" w:color="auto" w:fill="auto"/>
              </w:rPr>
            </w:pPr>
            <w:r>
              <w:rPr>
                <w:rFonts w:hint="eastAsia" w:hAnsi="宋体"/>
                <w:b/>
                <w:color w:val="auto"/>
                <w:szCs w:val="21"/>
                <w:highlight w:val="none"/>
                <w:shd w:val="clear" w:color="auto" w:fill="auto"/>
              </w:rPr>
              <w:t>备注</w:t>
            </w:r>
          </w:p>
        </w:tc>
      </w:tr>
      <w:tr w14:paraId="515F8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18" w:type="dxa"/>
            <w:tcBorders>
              <w:top w:val="single" w:color="auto" w:sz="6" w:space="0"/>
              <w:left w:val="single" w:color="auto" w:sz="12" w:space="0"/>
              <w:bottom w:val="single" w:color="auto" w:sz="6" w:space="0"/>
              <w:right w:val="single" w:color="auto" w:sz="6" w:space="0"/>
            </w:tcBorders>
            <w:noWrap w:val="0"/>
            <w:vAlign w:val="center"/>
          </w:tcPr>
          <w:p w14:paraId="65A03549">
            <w:pPr>
              <w:pStyle w:val="14"/>
              <w:autoSpaceDE w:val="0"/>
              <w:autoSpaceDN w:val="0"/>
              <w:spacing w:line="240" w:lineRule="auto"/>
              <w:textAlignment w:val="bottom"/>
              <w:rPr>
                <w:rFonts w:hint="eastAsia" w:hAnsi="宋体"/>
                <w:color w:val="auto"/>
                <w:szCs w:val="21"/>
                <w:highlight w:val="none"/>
                <w:shd w:val="clear" w:color="auto" w:fill="auto"/>
              </w:rPr>
            </w:pPr>
            <w:r>
              <w:rPr>
                <w:rFonts w:hint="eastAsia" w:hAnsi="宋体"/>
                <w:color w:val="auto"/>
                <w:szCs w:val="21"/>
                <w:highlight w:val="none"/>
                <w:shd w:val="clear" w:color="auto" w:fill="auto"/>
              </w:rPr>
              <w:t>1</w:t>
            </w:r>
          </w:p>
        </w:tc>
        <w:tc>
          <w:tcPr>
            <w:tcW w:w="1520" w:type="dxa"/>
            <w:tcBorders>
              <w:top w:val="single" w:color="auto" w:sz="6" w:space="0"/>
              <w:left w:val="single" w:color="auto" w:sz="6" w:space="0"/>
              <w:bottom w:val="single" w:color="auto" w:sz="6" w:space="0"/>
              <w:right w:val="single" w:color="auto" w:sz="6" w:space="0"/>
            </w:tcBorders>
            <w:noWrap w:val="0"/>
            <w:vAlign w:val="center"/>
          </w:tcPr>
          <w:p w14:paraId="165D0923">
            <w:pPr>
              <w:spacing w:after="60"/>
              <w:rPr>
                <w:rFonts w:hint="eastAsia" w:ascii="宋体" w:hAnsi="宋体"/>
                <w:color w:val="auto"/>
                <w:kern w:val="0"/>
                <w:szCs w:val="21"/>
                <w:highlight w:val="none"/>
                <w:shd w:val="clear" w:color="auto" w:fill="auto"/>
              </w:rPr>
            </w:pPr>
          </w:p>
        </w:tc>
        <w:tc>
          <w:tcPr>
            <w:tcW w:w="799" w:type="dxa"/>
            <w:tcBorders>
              <w:left w:val="single" w:color="auto" w:sz="6" w:space="0"/>
              <w:bottom w:val="single" w:color="auto" w:sz="6" w:space="0"/>
              <w:right w:val="single" w:color="auto" w:sz="6" w:space="0"/>
            </w:tcBorders>
            <w:noWrap w:val="0"/>
            <w:vAlign w:val="center"/>
          </w:tcPr>
          <w:p w14:paraId="2AC537D7">
            <w:pPr>
              <w:pStyle w:val="14"/>
              <w:autoSpaceDE w:val="0"/>
              <w:autoSpaceDN w:val="0"/>
              <w:spacing w:line="240" w:lineRule="auto"/>
              <w:textAlignment w:val="bottom"/>
              <w:rPr>
                <w:rFonts w:hint="eastAsia" w:hAnsi="宋体"/>
                <w:strike/>
                <w:color w:val="auto"/>
                <w:szCs w:val="21"/>
                <w:highlight w:val="none"/>
                <w:shd w:val="clear" w:color="auto" w:fill="auto"/>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34CDADCB">
            <w:pPr>
              <w:spacing w:after="60"/>
              <w:jc w:val="center"/>
              <w:rPr>
                <w:rFonts w:ascii="宋体" w:hAnsi="宋体"/>
                <w:color w:val="auto"/>
                <w:kern w:val="0"/>
                <w:szCs w:val="21"/>
                <w:highlight w:val="none"/>
                <w:shd w:val="clear" w:color="auto" w:fill="auto"/>
              </w:rPr>
            </w:pPr>
          </w:p>
        </w:tc>
        <w:tc>
          <w:tcPr>
            <w:tcW w:w="1006" w:type="dxa"/>
            <w:tcBorders>
              <w:left w:val="single" w:color="auto" w:sz="4" w:space="0"/>
              <w:bottom w:val="single" w:color="auto" w:sz="6" w:space="0"/>
              <w:right w:val="single" w:color="auto" w:sz="4" w:space="0"/>
            </w:tcBorders>
            <w:noWrap w:val="0"/>
            <w:vAlign w:val="top"/>
          </w:tcPr>
          <w:p w14:paraId="0D75F81A">
            <w:pPr>
              <w:pStyle w:val="14"/>
              <w:autoSpaceDE w:val="0"/>
              <w:autoSpaceDN w:val="0"/>
              <w:spacing w:after="0" w:line="240" w:lineRule="auto"/>
              <w:textAlignment w:val="bottom"/>
              <w:rPr>
                <w:rFonts w:hint="eastAsia" w:hAnsi="宋体"/>
                <w:color w:val="auto"/>
                <w:szCs w:val="21"/>
                <w:highlight w:val="none"/>
                <w:shd w:val="clear" w:color="auto" w:fill="auto"/>
              </w:rPr>
            </w:pPr>
          </w:p>
        </w:tc>
        <w:tc>
          <w:tcPr>
            <w:tcW w:w="1136" w:type="dxa"/>
            <w:tcBorders>
              <w:left w:val="single" w:color="auto" w:sz="4" w:space="0"/>
              <w:bottom w:val="single" w:color="auto" w:sz="6" w:space="0"/>
              <w:right w:val="single" w:color="auto" w:sz="4" w:space="0"/>
            </w:tcBorders>
            <w:noWrap w:val="0"/>
            <w:vAlign w:val="center"/>
          </w:tcPr>
          <w:p w14:paraId="095AD5B9">
            <w:pPr>
              <w:pStyle w:val="14"/>
              <w:autoSpaceDE w:val="0"/>
              <w:autoSpaceDN w:val="0"/>
              <w:spacing w:after="0" w:line="240" w:lineRule="auto"/>
              <w:textAlignment w:val="bottom"/>
              <w:rPr>
                <w:rFonts w:hint="eastAsia" w:hAnsi="宋体"/>
                <w:color w:val="auto"/>
                <w:szCs w:val="21"/>
                <w:highlight w:val="none"/>
                <w:shd w:val="clear" w:color="auto" w:fill="auto"/>
              </w:rPr>
            </w:pPr>
          </w:p>
        </w:tc>
        <w:tc>
          <w:tcPr>
            <w:tcW w:w="1324" w:type="dxa"/>
            <w:tcBorders>
              <w:top w:val="single" w:color="auto" w:sz="6" w:space="0"/>
              <w:left w:val="single" w:color="auto" w:sz="4" w:space="0"/>
              <w:bottom w:val="single" w:color="auto" w:sz="6" w:space="0"/>
              <w:right w:val="single" w:color="auto" w:sz="12" w:space="0"/>
            </w:tcBorders>
            <w:noWrap w:val="0"/>
            <w:vAlign w:val="center"/>
          </w:tcPr>
          <w:p w14:paraId="5AA3A8EC">
            <w:pPr>
              <w:rPr>
                <w:rFonts w:hint="eastAsia"/>
                <w:color w:val="auto"/>
                <w:highlight w:val="none"/>
                <w:shd w:val="clear" w:color="auto" w:fill="auto"/>
              </w:rPr>
            </w:pPr>
          </w:p>
        </w:tc>
      </w:tr>
      <w:tr w14:paraId="264C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18" w:type="dxa"/>
            <w:tcBorders>
              <w:top w:val="single" w:color="auto" w:sz="6" w:space="0"/>
              <w:left w:val="single" w:color="auto" w:sz="12" w:space="0"/>
              <w:bottom w:val="single" w:color="auto" w:sz="6" w:space="0"/>
              <w:right w:val="single" w:color="auto" w:sz="6" w:space="0"/>
            </w:tcBorders>
            <w:noWrap w:val="0"/>
            <w:vAlign w:val="center"/>
          </w:tcPr>
          <w:p w14:paraId="30BB3B3B">
            <w:pPr>
              <w:pStyle w:val="14"/>
              <w:autoSpaceDE w:val="0"/>
              <w:autoSpaceDN w:val="0"/>
              <w:spacing w:line="240" w:lineRule="auto"/>
              <w:textAlignment w:val="bottom"/>
              <w:rPr>
                <w:rFonts w:hint="eastAsia" w:hAnsi="宋体"/>
                <w:color w:val="auto"/>
                <w:szCs w:val="21"/>
                <w:highlight w:val="none"/>
                <w:shd w:val="clear" w:color="auto" w:fill="auto"/>
              </w:rPr>
            </w:pPr>
            <w:r>
              <w:rPr>
                <w:rFonts w:hint="eastAsia" w:hAnsi="宋体"/>
                <w:color w:val="auto"/>
                <w:szCs w:val="21"/>
                <w:highlight w:val="none"/>
                <w:shd w:val="clear" w:color="auto" w:fill="auto"/>
              </w:rPr>
              <w:t>2</w:t>
            </w:r>
          </w:p>
        </w:tc>
        <w:tc>
          <w:tcPr>
            <w:tcW w:w="1520" w:type="dxa"/>
            <w:tcBorders>
              <w:top w:val="single" w:color="auto" w:sz="6" w:space="0"/>
              <w:left w:val="single" w:color="auto" w:sz="6" w:space="0"/>
              <w:bottom w:val="single" w:color="auto" w:sz="6" w:space="0"/>
              <w:right w:val="single" w:color="auto" w:sz="6" w:space="0"/>
            </w:tcBorders>
            <w:noWrap w:val="0"/>
            <w:vAlign w:val="center"/>
          </w:tcPr>
          <w:p w14:paraId="61FCA564">
            <w:pPr>
              <w:spacing w:after="60"/>
              <w:rPr>
                <w:rFonts w:hint="eastAsia" w:ascii="宋体" w:hAnsi="宋体"/>
                <w:color w:val="auto"/>
                <w:kern w:val="0"/>
                <w:szCs w:val="21"/>
                <w:highlight w:val="none"/>
                <w:shd w:val="clear" w:color="auto" w:fill="auto"/>
              </w:rPr>
            </w:pPr>
          </w:p>
        </w:tc>
        <w:tc>
          <w:tcPr>
            <w:tcW w:w="799" w:type="dxa"/>
            <w:tcBorders>
              <w:left w:val="single" w:color="auto" w:sz="6" w:space="0"/>
              <w:bottom w:val="single" w:color="auto" w:sz="6" w:space="0"/>
              <w:right w:val="single" w:color="auto" w:sz="6" w:space="0"/>
            </w:tcBorders>
            <w:noWrap w:val="0"/>
            <w:vAlign w:val="center"/>
          </w:tcPr>
          <w:p w14:paraId="3D549D83">
            <w:pPr>
              <w:pStyle w:val="14"/>
              <w:autoSpaceDE w:val="0"/>
              <w:autoSpaceDN w:val="0"/>
              <w:spacing w:line="240" w:lineRule="auto"/>
              <w:textAlignment w:val="bottom"/>
              <w:rPr>
                <w:rFonts w:hint="eastAsia" w:hAnsi="宋体"/>
                <w:strike/>
                <w:color w:val="auto"/>
                <w:szCs w:val="21"/>
                <w:highlight w:val="none"/>
                <w:shd w:val="clear" w:color="auto" w:fill="auto"/>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62FBD444">
            <w:pPr>
              <w:spacing w:after="60"/>
              <w:jc w:val="center"/>
              <w:rPr>
                <w:rFonts w:ascii="宋体" w:hAnsi="宋体"/>
                <w:color w:val="auto"/>
                <w:kern w:val="0"/>
                <w:szCs w:val="21"/>
                <w:highlight w:val="none"/>
                <w:shd w:val="clear" w:color="auto" w:fill="auto"/>
              </w:rPr>
            </w:pPr>
          </w:p>
        </w:tc>
        <w:tc>
          <w:tcPr>
            <w:tcW w:w="1006" w:type="dxa"/>
            <w:tcBorders>
              <w:left w:val="single" w:color="auto" w:sz="4" w:space="0"/>
              <w:bottom w:val="single" w:color="auto" w:sz="6" w:space="0"/>
              <w:right w:val="single" w:color="auto" w:sz="4" w:space="0"/>
            </w:tcBorders>
            <w:noWrap w:val="0"/>
            <w:vAlign w:val="top"/>
          </w:tcPr>
          <w:p w14:paraId="3517FE23">
            <w:pPr>
              <w:pStyle w:val="14"/>
              <w:autoSpaceDE w:val="0"/>
              <w:autoSpaceDN w:val="0"/>
              <w:spacing w:after="0" w:line="240" w:lineRule="auto"/>
              <w:textAlignment w:val="bottom"/>
              <w:rPr>
                <w:rFonts w:hint="eastAsia" w:hAnsi="宋体"/>
                <w:color w:val="auto"/>
                <w:szCs w:val="21"/>
                <w:highlight w:val="none"/>
                <w:shd w:val="clear" w:color="auto" w:fill="auto"/>
              </w:rPr>
            </w:pPr>
          </w:p>
        </w:tc>
        <w:tc>
          <w:tcPr>
            <w:tcW w:w="1136" w:type="dxa"/>
            <w:tcBorders>
              <w:left w:val="single" w:color="auto" w:sz="4" w:space="0"/>
              <w:bottom w:val="single" w:color="auto" w:sz="6" w:space="0"/>
              <w:right w:val="single" w:color="auto" w:sz="4" w:space="0"/>
            </w:tcBorders>
            <w:noWrap w:val="0"/>
            <w:vAlign w:val="center"/>
          </w:tcPr>
          <w:p w14:paraId="26A764DB">
            <w:pPr>
              <w:pStyle w:val="14"/>
              <w:autoSpaceDE w:val="0"/>
              <w:autoSpaceDN w:val="0"/>
              <w:spacing w:after="0" w:line="240" w:lineRule="auto"/>
              <w:textAlignment w:val="bottom"/>
              <w:rPr>
                <w:rFonts w:hint="eastAsia" w:hAnsi="宋体"/>
                <w:color w:val="auto"/>
                <w:szCs w:val="21"/>
                <w:highlight w:val="none"/>
                <w:shd w:val="clear" w:color="auto" w:fill="auto"/>
              </w:rPr>
            </w:pPr>
          </w:p>
        </w:tc>
        <w:tc>
          <w:tcPr>
            <w:tcW w:w="1324" w:type="dxa"/>
            <w:tcBorders>
              <w:top w:val="single" w:color="auto" w:sz="6" w:space="0"/>
              <w:left w:val="single" w:color="auto" w:sz="4" w:space="0"/>
              <w:bottom w:val="single" w:color="auto" w:sz="6" w:space="0"/>
              <w:right w:val="single" w:color="auto" w:sz="12" w:space="0"/>
            </w:tcBorders>
            <w:noWrap w:val="0"/>
            <w:vAlign w:val="center"/>
          </w:tcPr>
          <w:p w14:paraId="1A7C6237">
            <w:pPr>
              <w:rPr>
                <w:rFonts w:hint="eastAsia"/>
                <w:color w:val="auto"/>
                <w:highlight w:val="none"/>
                <w:shd w:val="clear" w:color="auto" w:fill="auto"/>
              </w:rPr>
            </w:pPr>
          </w:p>
        </w:tc>
      </w:tr>
      <w:tr w14:paraId="2434D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18" w:type="dxa"/>
            <w:tcBorders>
              <w:top w:val="single" w:color="auto" w:sz="6" w:space="0"/>
              <w:left w:val="single" w:color="auto" w:sz="12" w:space="0"/>
              <w:bottom w:val="single" w:color="auto" w:sz="6" w:space="0"/>
              <w:right w:val="single" w:color="auto" w:sz="6" w:space="0"/>
            </w:tcBorders>
            <w:noWrap w:val="0"/>
            <w:vAlign w:val="center"/>
          </w:tcPr>
          <w:p w14:paraId="204DCC00">
            <w:pPr>
              <w:pStyle w:val="14"/>
              <w:autoSpaceDE w:val="0"/>
              <w:autoSpaceDN w:val="0"/>
              <w:spacing w:line="240" w:lineRule="auto"/>
              <w:textAlignment w:val="bottom"/>
              <w:rPr>
                <w:rFonts w:hint="default" w:hAnsi="宋体" w:eastAsia="宋体"/>
                <w:color w:val="auto"/>
                <w:szCs w:val="21"/>
                <w:highlight w:val="none"/>
                <w:shd w:val="clear" w:color="auto" w:fill="auto"/>
                <w:lang w:val="en-US" w:eastAsia="zh-CN"/>
              </w:rPr>
            </w:pPr>
            <w:r>
              <w:rPr>
                <w:rFonts w:hint="eastAsia" w:hAnsi="宋体"/>
                <w:color w:val="auto"/>
                <w:szCs w:val="21"/>
                <w:highlight w:val="none"/>
                <w:shd w:val="clear" w:color="auto" w:fill="auto"/>
                <w:lang w:val="en-US" w:eastAsia="zh-CN"/>
              </w:rPr>
              <w:t>...</w:t>
            </w:r>
          </w:p>
        </w:tc>
        <w:tc>
          <w:tcPr>
            <w:tcW w:w="1520" w:type="dxa"/>
            <w:tcBorders>
              <w:top w:val="single" w:color="auto" w:sz="6" w:space="0"/>
              <w:left w:val="single" w:color="auto" w:sz="6" w:space="0"/>
              <w:bottom w:val="single" w:color="auto" w:sz="6" w:space="0"/>
              <w:right w:val="single" w:color="auto" w:sz="6" w:space="0"/>
            </w:tcBorders>
            <w:noWrap w:val="0"/>
            <w:vAlign w:val="center"/>
          </w:tcPr>
          <w:p w14:paraId="65F9A692">
            <w:pPr>
              <w:spacing w:after="60"/>
              <w:rPr>
                <w:rFonts w:hint="default" w:ascii="宋体" w:hAnsi="宋体" w:eastAsia="宋体"/>
                <w:color w:val="auto"/>
                <w:kern w:val="0"/>
                <w:szCs w:val="21"/>
                <w:highlight w:val="none"/>
                <w:shd w:val="clear" w:color="auto" w:fill="auto"/>
                <w:lang w:val="en-US" w:eastAsia="zh-CN"/>
              </w:rPr>
            </w:pPr>
            <w:r>
              <w:rPr>
                <w:rFonts w:hint="eastAsia" w:ascii="宋体" w:hAnsi="宋体"/>
                <w:color w:val="auto"/>
                <w:kern w:val="0"/>
                <w:sz w:val="20"/>
                <w:szCs w:val="20"/>
                <w:highlight w:val="none"/>
                <w:shd w:val="clear" w:color="auto" w:fill="auto"/>
              </w:rPr>
              <w:t>......</w:t>
            </w:r>
          </w:p>
        </w:tc>
        <w:tc>
          <w:tcPr>
            <w:tcW w:w="799" w:type="dxa"/>
            <w:tcBorders>
              <w:left w:val="single" w:color="auto" w:sz="6" w:space="0"/>
              <w:right w:val="single" w:color="auto" w:sz="6" w:space="0"/>
            </w:tcBorders>
            <w:noWrap w:val="0"/>
            <w:vAlign w:val="center"/>
          </w:tcPr>
          <w:p w14:paraId="7BFC0D59">
            <w:pPr>
              <w:pStyle w:val="14"/>
              <w:autoSpaceDE w:val="0"/>
              <w:autoSpaceDN w:val="0"/>
              <w:spacing w:line="240" w:lineRule="auto"/>
              <w:textAlignment w:val="bottom"/>
              <w:rPr>
                <w:rFonts w:hint="eastAsia" w:hAnsi="宋体"/>
                <w:strike/>
                <w:color w:val="auto"/>
                <w:szCs w:val="21"/>
                <w:highlight w:val="none"/>
                <w:shd w:val="clear" w:color="auto" w:fill="auto"/>
              </w:rPr>
            </w:pPr>
          </w:p>
        </w:tc>
        <w:tc>
          <w:tcPr>
            <w:tcW w:w="1516" w:type="dxa"/>
            <w:tcBorders>
              <w:top w:val="single" w:color="auto" w:sz="6" w:space="0"/>
              <w:left w:val="single" w:color="auto" w:sz="6" w:space="0"/>
              <w:bottom w:val="single" w:color="auto" w:sz="6" w:space="0"/>
              <w:right w:val="single" w:color="auto" w:sz="6" w:space="0"/>
            </w:tcBorders>
            <w:noWrap w:val="0"/>
            <w:vAlign w:val="center"/>
          </w:tcPr>
          <w:p w14:paraId="1CB9AF8F">
            <w:pPr>
              <w:spacing w:after="60"/>
              <w:jc w:val="center"/>
              <w:rPr>
                <w:rFonts w:ascii="宋体" w:hAnsi="宋体"/>
                <w:color w:val="auto"/>
                <w:kern w:val="0"/>
                <w:szCs w:val="21"/>
                <w:highlight w:val="none"/>
                <w:shd w:val="clear" w:color="auto" w:fill="auto"/>
              </w:rPr>
            </w:pPr>
          </w:p>
        </w:tc>
        <w:tc>
          <w:tcPr>
            <w:tcW w:w="1006" w:type="dxa"/>
            <w:tcBorders>
              <w:left w:val="single" w:color="auto" w:sz="4" w:space="0"/>
              <w:right w:val="single" w:color="auto" w:sz="4" w:space="0"/>
            </w:tcBorders>
            <w:noWrap w:val="0"/>
            <w:vAlign w:val="top"/>
          </w:tcPr>
          <w:p w14:paraId="4192C5EF">
            <w:pPr>
              <w:pStyle w:val="14"/>
              <w:autoSpaceDE w:val="0"/>
              <w:autoSpaceDN w:val="0"/>
              <w:spacing w:after="0" w:line="240" w:lineRule="auto"/>
              <w:textAlignment w:val="bottom"/>
              <w:rPr>
                <w:rFonts w:hint="eastAsia" w:hAnsi="宋体"/>
                <w:color w:val="auto"/>
                <w:szCs w:val="21"/>
                <w:highlight w:val="none"/>
                <w:shd w:val="clear" w:color="auto" w:fill="auto"/>
              </w:rPr>
            </w:pPr>
          </w:p>
        </w:tc>
        <w:tc>
          <w:tcPr>
            <w:tcW w:w="1136" w:type="dxa"/>
            <w:tcBorders>
              <w:left w:val="single" w:color="auto" w:sz="4" w:space="0"/>
              <w:right w:val="single" w:color="auto" w:sz="4" w:space="0"/>
            </w:tcBorders>
            <w:noWrap w:val="0"/>
            <w:vAlign w:val="center"/>
          </w:tcPr>
          <w:p w14:paraId="03AF26E2">
            <w:pPr>
              <w:pStyle w:val="14"/>
              <w:autoSpaceDE w:val="0"/>
              <w:autoSpaceDN w:val="0"/>
              <w:spacing w:after="0" w:line="240" w:lineRule="auto"/>
              <w:textAlignment w:val="bottom"/>
              <w:rPr>
                <w:rFonts w:hint="eastAsia" w:hAnsi="宋体"/>
                <w:color w:val="auto"/>
                <w:szCs w:val="21"/>
                <w:highlight w:val="none"/>
                <w:shd w:val="clear" w:color="auto" w:fill="auto"/>
              </w:rPr>
            </w:pPr>
          </w:p>
        </w:tc>
        <w:tc>
          <w:tcPr>
            <w:tcW w:w="1324" w:type="dxa"/>
            <w:tcBorders>
              <w:top w:val="single" w:color="auto" w:sz="6" w:space="0"/>
              <w:left w:val="single" w:color="auto" w:sz="4" w:space="0"/>
              <w:bottom w:val="single" w:color="auto" w:sz="6" w:space="0"/>
              <w:right w:val="single" w:color="auto" w:sz="12" w:space="0"/>
            </w:tcBorders>
            <w:noWrap w:val="0"/>
            <w:vAlign w:val="center"/>
          </w:tcPr>
          <w:p w14:paraId="3B5C6B1D">
            <w:pPr>
              <w:pStyle w:val="14"/>
              <w:autoSpaceDE w:val="0"/>
              <w:autoSpaceDN w:val="0"/>
              <w:spacing w:after="0" w:line="240" w:lineRule="auto"/>
              <w:jc w:val="both"/>
              <w:textAlignment w:val="bottom"/>
              <w:rPr>
                <w:rFonts w:hint="eastAsia" w:hAnsi="宋体"/>
                <w:color w:val="auto"/>
                <w:szCs w:val="21"/>
                <w:highlight w:val="none"/>
                <w:shd w:val="clear" w:color="auto" w:fill="auto"/>
              </w:rPr>
            </w:pPr>
          </w:p>
        </w:tc>
      </w:tr>
    </w:tbl>
    <w:p w14:paraId="7633900A">
      <w:pPr>
        <w:pStyle w:val="10"/>
        <w:widowControl w:val="0"/>
        <w:numPr>
          <w:ilvl w:val="0"/>
          <w:numId w:val="0"/>
        </w:numPr>
        <w:spacing w:line="360" w:lineRule="auto"/>
        <w:jc w:val="both"/>
        <w:rPr>
          <w:rFonts w:hint="eastAsia" w:ascii="仿宋_GB2312" w:hAnsi="仿宋_GB2312" w:eastAsia="仿宋_GB2312" w:cs="仿宋_GB2312"/>
          <w:bCs w:val="0"/>
          <w:spacing w:val="0"/>
          <w:kern w:val="2"/>
          <w:sz w:val="24"/>
          <w:szCs w:val="24"/>
          <w:lang w:val="en-US" w:eastAsia="zh-CN" w:bidi="ar-SA"/>
        </w:rPr>
      </w:pPr>
      <w:r>
        <w:rPr>
          <w:rFonts w:hint="eastAsia" w:ascii="仿宋_GB2312" w:hAnsi="仿宋_GB2312" w:eastAsia="仿宋_GB2312" w:cs="仿宋_GB2312"/>
          <w:bCs w:val="0"/>
          <w:spacing w:val="0"/>
          <w:kern w:val="2"/>
          <w:sz w:val="24"/>
          <w:szCs w:val="24"/>
          <w:lang w:val="en-US" w:eastAsia="zh-CN" w:bidi="ar-SA"/>
        </w:rPr>
        <w:t>注：此表由报价人自行填写，合计金额因与项目报价表中的综合含税总报价一致。</w:t>
      </w:r>
    </w:p>
    <w:p w14:paraId="0C1529CC">
      <w:pPr>
        <w:pStyle w:val="10"/>
        <w:widowControl w:val="0"/>
        <w:numPr>
          <w:ilvl w:val="0"/>
          <w:numId w:val="0"/>
        </w:numPr>
        <w:spacing w:line="360" w:lineRule="auto"/>
        <w:jc w:val="both"/>
        <w:rPr>
          <w:rFonts w:hint="eastAsia" w:ascii="仿宋_GB2312" w:hAnsi="仿宋_GB2312" w:eastAsia="仿宋_GB2312" w:cs="仿宋_GB2312"/>
          <w:bCs w:val="0"/>
          <w:spacing w:val="0"/>
          <w:kern w:val="2"/>
          <w:sz w:val="24"/>
          <w:szCs w:val="24"/>
          <w:lang w:val="en-US" w:eastAsia="zh-CN" w:bidi="ar-SA"/>
        </w:rPr>
      </w:pPr>
    </w:p>
    <w:p w14:paraId="4065E2C8">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zh-CN"/>
        </w:rPr>
      </w:pPr>
    </w:p>
    <w:p w14:paraId="4F95FD8C">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zh-CN"/>
        </w:rPr>
      </w:pPr>
    </w:p>
    <w:p w14:paraId="7694F2F6">
      <w:pPr>
        <w:keepNext w:val="0"/>
        <w:keepLines w:val="0"/>
        <w:pageBreakBefore w:val="0"/>
        <w:widowControl w:val="0"/>
        <w:numPr>
          <w:ilvl w:val="0"/>
          <w:numId w:val="0"/>
        </w:numPr>
        <w:kinsoku/>
        <w:wordWrap/>
        <w:overflowPunct/>
        <w:topLinePunct w:val="0"/>
        <w:autoSpaceDE/>
        <w:autoSpaceDN/>
        <w:bidi w:val="0"/>
        <w:spacing w:line="576" w:lineRule="exact"/>
        <w:ind w:left="420" w:leftChars="0"/>
        <w:textAlignment w:val="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zh-CN"/>
        </w:rPr>
        <w:t>附件</w:t>
      </w:r>
      <w:r>
        <w:rPr>
          <w:rFonts w:hint="eastAsia" w:ascii="仿宋_GB2312" w:hAnsi="仿宋_GB2312" w:eastAsia="仿宋_GB2312" w:cs="仿宋_GB2312"/>
          <w:b/>
          <w:bCs/>
          <w:color w:val="auto"/>
          <w:sz w:val="24"/>
          <w:highlight w:val="none"/>
          <w:lang w:val="en-US" w:eastAsia="zh-CN"/>
        </w:rPr>
        <w:t>2：</w:t>
      </w:r>
    </w:p>
    <w:p w14:paraId="5C15113C">
      <w:pPr>
        <w:adjustRightInd/>
        <w:snapToGrid/>
        <w:spacing w:line="240" w:lineRule="auto"/>
        <w:jc w:val="center"/>
        <w:outlineLvl w:val="9"/>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法定代表人身份证明</w:t>
      </w:r>
    </w:p>
    <w:p w14:paraId="71FB290F">
      <w:pPr>
        <w:widowControl/>
        <w:spacing w:line="360" w:lineRule="auto"/>
        <w:rPr>
          <w:rFonts w:ascii="仿宋_GB2312" w:hAnsi="仿宋_GB2312" w:eastAsia="仿宋_GB2312" w:cs="仿宋_GB2312"/>
          <w:sz w:val="24"/>
        </w:rPr>
      </w:pPr>
    </w:p>
    <w:p w14:paraId="5521433F">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报价人名称：</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(单位名称）</w:t>
      </w:r>
    </w:p>
    <w:p w14:paraId="55DDA61F">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送达地址：</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（中选后合同及合同履行资料邮寄地址）</w:t>
      </w:r>
    </w:p>
    <w:p w14:paraId="3927B239">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4E02BBA7">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p>
    <w:p w14:paraId="0D1BBAF2">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性别：</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职务：</w:t>
      </w:r>
      <w:r>
        <w:rPr>
          <w:rFonts w:hint="eastAsia" w:ascii="仿宋_GB2312" w:hAnsi="仿宋_GB2312" w:eastAsia="仿宋_GB2312" w:cs="仿宋_GB2312"/>
          <w:sz w:val="24"/>
          <w:u w:val="single"/>
        </w:rPr>
        <w:t xml:space="preserve">                   </w:t>
      </w:r>
    </w:p>
    <w:p w14:paraId="5AA0DBF0">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w:t>
      </w:r>
    </w:p>
    <w:p w14:paraId="3A8EF906">
      <w:pPr>
        <w:widowControl/>
        <w:spacing w:line="440" w:lineRule="exact"/>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特此证明。</w:t>
      </w:r>
    </w:p>
    <w:p w14:paraId="171EBB82">
      <w:pPr>
        <w:widowControl/>
        <w:spacing w:line="440" w:lineRule="exact"/>
        <w:ind w:firstLine="480" w:firstLineChars="200"/>
        <w:rPr>
          <w:rFonts w:ascii="仿宋_GB2312" w:hAnsi="仿宋_GB2312" w:eastAsia="仿宋_GB2312" w:cs="仿宋_GB2312"/>
          <w:sz w:val="24"/>
        </w:rPr>
      </w:pPr>
    </w:p>
    <w:p w14:paraId="4C0EC4B7">
      <w:pPr>
        <w:widowControl/>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附：法定代表人身份证复印件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2CDE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19" w:type="dxa"/>
            <w:noWrap w:val="0"/>
            <w:vAlign w:val="center"/>
          </w:tcPr>
          <w:p w14:paraId="561A7B15">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6791E48E">
            <w:pPr>
              <w:keepNext w:val="0"/>
              <w:keepLines w:val="0"/>
              <w:widowControl/>
              <w:suppressLineNumbers w:val="0"/>
              <w:snapToGrid w:val="0"/>
              <w:spacing w:before="0" w:beforeLines="50" w:beforeAutospacing="0" w:after="0" w:afterLines="50" w:afterAutospacing="0" w:line="44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bl>
    <w:p w14:paraId="4ACD5027">
      <w:pPr>
        <w:widowControl/>
        <w:spacing w:line="440" w:lineRule="exact"/>
        <w:ind w:firstLine="480" w:firstLineChars="200"/>
        <w:rPr>
          <w:rFonts w:ascii="仿宋_GB2312" w:hAnsi="仿宋_GB2312" w:eastAsia="仿宋_GB2312" w:cs="仿宋_GB2312"/>
          <w:sz w:val="24"/>
        </w:rPr>
      </w:pPr>
    </w:p>
    <w:p w14:paraId="222E3861">
      <w:pPr>
        <w:widowControl/>
        <w:spacing w:line="440" w:lineRule="exact"/>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（盖单位公章/专用章）</w:t>
      </w:r>
    </w:p>
    <w:p w14:paraId="2D0203E4">
      <w:pPr>
        <w:pStyle w:val="10"/>
        <w:ind w:firstLine="3640" w:firstLineChars="1400"/>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single"/>
        </w:rPr>
        <w:t xml:space="preserve">                                 </w:t>
      </w:r>
    </w:p>
    <w:p w14:paraId="49D832F3">
      <w:pPr>
        <w:widowControl/>
        <w:spacing w:line="440" w:lineRule="exact"/>
        <w:ind w:firstLine="6840" w:firstLineChars="2850"/>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4CE6F617">
      <w:pPr>
        <w:widowControl/>
        <w:spacing w:line="440" w:lineRule="exact"/>
        <w:ind w:firstLine="480" w:firstLineChars="200"/>
        <w:rPr>
          <w:rFonts w:ascii="仿宋_GB2312" w:hAnsi="仿宋_GB2312" w:eastAsia="仿宋_GB2312" w:cs="仿宋_GB2312"/>
          <w:sz w:val="24"/>
        </w:rPr>
      </w:pPr>
    </w:p>
    <w:p w14:paraId="1A12666F">
      <w:pPr>
        <w:widowControl/>
        <w:spacing w:line="440" w:lineRule="exact"/>
        <w:ind w:firstLine="480" w:firstLineChars="200"/>
        <w:rPr>
          <w:rFonts w:ascii="仿宋_GB2312" w:hAnsi="仿宋_GB2312" w:eastAsia="仿宋_GB2312" w:cs="仿宋_GB2312"/>
          <w:sz w:val="24"/>
        </w:rPr>
      </w:pPr>
    </w:p>
    <w:p w14:paraId="60841BA0">
      <w:pPr>
        <w:widowControl/>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注：适用于法定代表人亲自报价而不委托代理人报价，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05400721">
      <w:pPr>
        <w:widowControl/>
        <w:rPr>
          <w:rFonts w:ascii="仿宋_GB2312" w:hAnsi="仿宋_GB2312" w:eastAsia="仿宋_GB2312" w:cs="仿宋_GB2312"/>
          <w:szCs w:val="21"/>
        </w:rPr>
      </w:pPr>
      <w:r>
        <w:rPr>
          <w:rFonts w:hint="eastAsia" w:ascii="仿宋_GB2312" w:hAnsi="仿宋_GB2312" w:eastAsia="仿宋_GB2312" w:cs="仿宋_GB2312"/>
          <w:szCs w:val="21"/>
        </w:rPr>
        <w:br w:type="page"/>
      </w:r>
    </w:p>
    <w:p w14:paraId="041959AB">
      <w:pPr>
        <w:keepNext w:val="0"/>
        <w:keepLines w:val="0"/>
        <w:pageBreakBefore w:val="0"/>
        <w:widowControl/>
        <w:kinsoku/>
        <w:wordWrap/>
        <w:overflowPunct/>
        <w:topLinePunct w:val="0"/>
        <w:autoSpaceDE/>
        <w:autoSpaceDN/>
        <w:bidi w:val="0"/>
        <w:adjustRightInd/>
        <w:spacing w:line="240" w:lineRule="auto"/>
        <w:ind w:firstLine="0" w:firstLineChars="0"/>
        <w:textAlignment w:val="auto"/>
        <w:rPr>
          <w:rFonts w:hint="eastAsia" w:ascii="仿宋_GB2312" w:hAnsi="仿宋_GB2312" w:eastAsia="仿宋_GB2312" w:cs="仿宋_GB2312"/>
          <w:b/>
          <w:bCs/>
          <w:szCs w:val="21"/>
          <w:lang w:eastAsia="zh-CN"/>
        </w:rPr>
      </w:pPr>
      <w:r>
        <w:rPr>
          <w:rFonts w:hint="eastAsia" w:ascii="仿宋_GB2312" w:hAnsi="仿宋_GB2312" w:eastAsia="仿宋_GB2312" w:cs="仿宋_GB2312"/>
          <w:b/>
          <w:bCs/>
          <w:color w:val="auto"/>
          <w:sz w:val="24"/>
          <w:szCs w:val="24"/>
          <w:highlight w:val="none"/>
          <w:lang w:eastAsia="zh-CN"/>
        </w:rPr>
        <w:t>附件</w:t>
      </w: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lang w:eastAsia="zh-CN"/>
        </w:rPr>
        <w:t>：</w:t>
      </w:r>
    </w:p>
    <w:p w14:paraId="027D22E7">
      <w:pPr>
        <w:adjustRightInd w:val="0"/>
        <w:snapToGrid w:val="0"/>
        <w:spacing w:line="300" w:lineRule="auto"/>
        <w:jc w:val="center"/>
        <w:outlineLvl w:val="0"/>
        <w:rPr>
          <w:rFonts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授权委托书</w:t>
      </w:r>
    </w:p>
    <w:p w14:paraId="3826848E">
      <w:pPr>
        <w:widowControl/>
        <w:spacing w:line="360" w:lineRule="auto"/>
        <w:rPr>
          <w:rFonts w:ascii="仿宋_GB2312" w:hAnsi="仿宋_GB2312" w:eastAsia="仿宋_GB2312" w:cs="仿宋_GB2312"/>
          <w:sz w:val="24"/>
        </w:rPr>
      </w:pPr>
    </w:p>
    <w:p w14:paraId="1A9022C5">
      <w:pPr>
        <w:tabs>
          <w:tab w:val="left" w:pos="900"/>
        </w:tabs>
        <w:adjustRightInd w:val="0"/>
        <w:snapToGrid w:val="0"/>
        <w:spacing w:line="300"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本人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(报价人名称)的法定代表人，现授权</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(姓名)身份证号：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为我方代理人。代理人以我方的名义签署、澄清、说明、补正、递交、撤回、修改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（项目名称）响应文件、签订合同和处理有关事宜，其法律后果由我方承担。</w:t>
      </w:r>
    </w:p>
    <w:p w14:paraId="3DB0631A">
      <w:pPr>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授权有效期：自本授权委托书签署之日起至本项目采购文件规定的“报价有效期”结束为止。</w:t>
      </w:r>
    </w:p>
    <w:p w14:paraId="0F8449BD">
      <w:pPr>
        <w:widowControl/>
        <w:tabs>
          <w:tab w:val="left" w:pos="900"/>
        </w:tabs>
        <w:adjustRightInd w:val="0"/>
        <w:snapToGrid w:val="0"/>
        <w:spacing w:line="30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代理人无转委托权。</w:t>
      </w:r>
    </w:p>
    <w:p w14:paraId="090A1275">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14:paraId="0C38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4819" w:type="dxa"/>
            <w:noWrap w:val="0"/>
            <w:vAlign w:val="center"/>
          </w:tcPr>
          <w:p w14:paraId="330324A5">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法定代表人身份证复印件正面</w:t>
            </w:r>
          </w:p>
        </w:tc>
        <w:tc>
          <w:tcPr>
            <w:tcW w:w="4819" w:type="dxa"/>
            <w:noWrap w:val="0"/>
            <w:vAlign w:val="center"/>
          </w:tcPr>
          <w:p w14:paraId="69EE49CF">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法定代表人身份证复印件反面</w:t>
            </w:r>
          </w:p>
        </w:tc>
      </w:tr>
      <w:tr w14:paraId="7BCF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jc w:val="center"/>
        </w:trPr>
        <w:tc>
          <w:tcPr>
            <w:tcW w:w="4819" w:type="dxa"/>
            <w:noWrap w:val="0"/>
            <w:vAlign w:val="center"/>
          </w:tcPr>
          <w:p w14:paraId="6D93D9C8">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委托代理人身份证复印件正面</w:t>
            </w:r>
          </w:p>
        </w:tc>
        <w:tc>
          <w:tcPr>
            <w:tcW w:w="4819" w:type="dxa"/>
            <w:noWrap w:val="0"/>
            <w:vAlign w:val="center"/>
          </w:tcPr>
          <w:p w14:paraId="757715BB">
            <w:pPr>
              <w:keepNext w:val="0"/>
              <w:keepLines w:val="0"/>
              <w:widowControl/>
              <w:suppressLineNumbers w:val="0"/>
              <w:snapToGrid w:val="0"/>
              <w:spacing w:before="0" w:beforeLines="50" w:beforeAutospacing="0" w:after="0" w:afterLines="5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委托代理人身份证复印件反面</w:t>
            </w:r>
          </w:p>
        </w:tc>
      </w:tr>
    </w:tbl>
    <w:p w14:paraId="1A28706B">
      <w:pPr>
        <w:widowControl/>
        <w:spacing w:line="360" w:lineRule="auto"/>
        <w:rPr>
          <w:rFonts w:ascii="仿宋_GB2312" w:hAnsi="仿宋_GB2312" w:eastAsia="仿宋_GB2312" w:cs="仿宋_GB2312"/>
          <w:sz w:val="24"/>
        </w:rPr>
      </w:pPr>
    </w:p>
    <w:p w14:paraId="4697A25E">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（盖单位公章/专用章）</w:t>
      </w:r>
    </w:p>
    <w:p w14:paraId="5D9A11EB">
      <w:pPr>
        <w:widowControl/>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法定代表人（签字）：</w:t>
      </w:r>
      <w:r>
        <w:rPr>
          <w:rFonts w:hint="eastAsia" w:ascii="仿宋_GB2312" w:hAnsi="仿宋_GB2312" w:eastAsia="仿宋_GB2312" w:cs="仿宋_GB2312"/>
          <w:sz w:val="24"/>
          <w:u w:val="single"/>
        </w:rPr>
        <w:t xml:space="preserve">                              </w:t>
      </w:r>
    </w:p>
    <w:p w14:paraId="0580FA2F">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委托代理人（签字）：</w:t>
      </w:r>
      <w:r>
        <w:rPr>
          <w:rFonts w:hint="eastAsia" w:ascii="仿宋_GB2312" w:hAnsi="仿宋_GB2312" w:eastAsia="仿宋_GB2312" w:cs="仿宋_GB2312"/>
          <w:sz w:val="24"/>
          <w:u w:val="single"/>
        </w:rPr>
        <w:t xml:space="preserve">                              </w:t>
      </w:r>
    </w:p>
    <w:p w14:paraId="0AD2D33E">
      <w:pPr>
        <w:widowControl/>
        <w:spacing w:line="360" w:lineRule="auto"/>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送达地址</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eastAsia="zh-CN"/>
        </w:rPr>
        <w:t>（中选后合同及合同履行资料邮寄地址）</w:t>
      </w:r>
      <w:r>
        <w:rPr>
          <w:rFonts w:hint="eastAsia" w:ascii="仿宋_GB2312" w:hAnsi="仿宋_GB2312" w:eastAsia="仿宋_GB2312" w:cs="仿宋_GB2312"/>
          <w:sz w:val="24"/>
          <w:u w:val="single"/>
        </w:rPr>
        <w:t xml:space="preserve">       </w:t>
      </w:r>
    </w:p>
    <w:p w14:paraId="3B583291">
      <w:pPr>
        <w:widowControl/>
        <w:spacing w:line="360" w:lineRule="auto"/>
        <w:ind w:right="-260" w:rightChars="-124"/>
        <w:rPr>
          <w:rFonts w:ascii="仿宋_GB2312" w:hAnsi="仿宋_GB2312" w:eastAsia="仿宋_GB2312" w:cs="仿宋_GB2312"/>
          <w:sz w:val="24"/>
          <w:u w:val="single"/>
        </w:rPr>
      </w:pPr>
      <w:r>
        <w:rPr>
          <w:rFonts w:hint="eastAsia" w:ascii="仿宋_GB2312" w:hAnsi="仿宋_GB2312" w:eastAsia="仿宋_GB2312" w:cs="仿宋_GB2312"/>
          <w:sz w:val="24"/>
        </w:rPr>
        <w:t xml:space="preserve">                                     联系电话：</w:t>
      </w:r>
      <w:r>
        <w:rPr>
          <w:rFonts w:hint="eastAsia" w:ascii="仿宋_GB2312" w:hAnsi="仿宋_GB2312" w:eastAsia="仿宋_GB2312" w:cs="仿宋_GB2312"/>
          <w:sz w:val="24"/>
          <w:u w:val="single"/>
        </w:rPr>
        <w:t xml:space="preserve">                                       </w:t>
      </w:r>
    </w:p>
    <w:p w14:paraId="6F2BB677">
      <w:pPr>
        <w:widowControl/>
        <w:spacing w:line="360" w:lineRule="auto"/>
        <w:ind w:firstLine="6480" w:firstLineChars="2700"/>
        <w:jc w:val="right"/>
        <w:rPr>
          <w:rFonts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18833B2">
      <w:pPr>
        <w:widowControl/>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注：授权委托书适用于法定代表人不亲自报价而委托代理人报价，</w:t>
      </w:r>
      <w:r>
        <w:rPr>
          <w:rFonts w:hint="eastAsia" w:ascii="仿宋_GB2312" w:hAnsi="仿宋_GB2312" w:eastAsia="仿宋_GB2312" w:cs="仿宋_GB2312"/>
          <w:sz w:val="24"/>
        </w:rPr>
        <w:t>盖单位公章/专用章即视为报价人确认“复印件与原件核对一致”</w:t>
      </w:r>
      <w:r>
        <w:rPr>
          <w:rFonts w:hint="eastAsia" w:ascii="仿宋_GB2312" w:hAnsi="仿宋_GB2312" w:eastAsia="仿宋_GB2312" w:cs="仿宋_GB2312"/>
          <w:szCs w:val="21"/>
        </w:rPr>
        <w:t>。</w:t>
      </w:r>
    </w:p>
    <w:p w14:paraId="6ACE73E9">
      <w:pPr>
        <w:pStyle w:val="10"/>
      </w:pPr>
    </w:p>
    <w:p w14:paraId="794C428B">
      <w:pPr>
        <w:pStyle w:val="10"/>
      </w:pPr>
    </w:p>
    <w:p w14:paraId="250781AA">
      <w:pPr>
        <w:pStyle w:val="10"/>
      </w:pPr>
    </w:p>
    <w:p w14:paraId="7EF522F0">
      <w:pPr>
        <w:pStyle w:val="10"/>
        <w:rPr>
          <w:rFonts w:hint="eastAsia" w:eastAsia="宋体"/>
          <w:b/>
          <w:bCs w:val="0"/>
          <w:lang w:eastAsia="zh-CN"/>
        </w:rPr>
      </w:pPr>
      <w:r>
        <w:rPr>
          <w:rFonts w:hint="eastAsia"/>
          <w:b/>
          <w:bCs w:val="0"/>
          <w:lang w:eastAsia="zh-CN"/>
        </w:rPr>
        <w:t>附件</w:t>
      </w:r>
      <w:r>
        <w:rPr>
          <w:rFonts w:hint="eastAsia"/>
          <w:b/>
          <w:bCs w:val="0"/>
          <w:lang w:val="en-US" w:eastAsia="zh-CN"/>
        </w:rPr>
        <w:t>4</w:t>
      </w:r>
      <w:r>
        <w:rPr>
          <w:rFonts w:hint="eastAsia"/>
          <w:b/>
          <w:bCs w:val="0"/>
          <w:lang w:eastAsia="zh-CN"/>
        </w:rPr>
        <w:t>：</w:t>
      </w:r>
    </w:p>
    <w:p w14:paraId="48C8B4F9">
      <w:pPr>
        <w:adjustRightInd w:val="0"/>
        <w:snapToGrid w:val="0"/>
        <w:jc w:val="center"/>
        <w:rPr>
          <w:rFonts w:ascii="方正小标宋简体" w:hAnsi="方正小标宋简体" w:eastAsia="方正小标宋简体" w:cs="方正小标宋简体"/>
          <w:kern w:val="44"/>
          <w:sz w:val="44"/>
          <w:szCs w:val="44"/>
          <w:lang w:val="zh-CN"/>
        </w:rPr>
      </w:pPr>
      <w:r>
        <w:rPr>
          <w:rFonts w:hint="eastAsia" w:ascii="方正小标宋简体" w:hAnsi="方正小标宋简体" w:eastAsia="方正小标宋简体" w:cs="方正小标宋简体"/>
          <w:kern w:val="44"/>
          <w:sz w:val="44"/>
          <w:szCs w:val="44"/>
          <w:lang w:val="zh-CN"/>
        </w:rPr>
        <w:t>承诺书</w:t>
      </w:r>
    </w:p>
    <w:p w14:paraId="14D153D2">
      <w:pPr>
        <w:adjustRightInd w:val="0"/>
        <w:snapToGrid w:val="0"/>
        <w:spacing w:line="300" w:lineRule="auto"/>
        <w:rPr>
          <w:rFonts w:ascii="仿宋_GB2312" w:hAnsi="仿宋_GB2312" w:eastAsia="仿宋_GB2312" w:cs="仿宋_GB2312"/>
          <w:sz w:val="24"/>
        </w:rPr>
      </w:pPr>
    </w:p>
    <w:p w14:paraId="124DF508">
      <w:pPr>
        <w:adjustRightInd w:val="0"/>
        <w:snapToGrid w:val="0"/>
        <w:spacing w:line="300" w:lineRule="auto"/>
        <w:rPr>
          <w:rFonts w:ascii="仿宋_GB2312" w:hAnsi="仿宋_GB2312" w:eastAsia="仿宋_GB2312" w:cs="仿宋_GB2312"/>
          <w:b/>
          <w:sz w:val="24"/>
        </w:rPr>
      </w:pPr>
      <w:r>
        <w:rPr>
          <w:rFonts w:hint="eastAsia" w:ascii="宋体" w:hAnsi="宋体" w:cs="Arial"/>
          <w:b/>
          <w:sz w:val="24"/>
        </w:rPr>
        <w:t>致：</w:t>
      </w:r>
      <w:r>
        <w:rPr>
          <w:rFonts w:hint="eastAsia" w:ascii="仿宋_GB2312" w:hAnsi="仿宋_GB2312" w:eastAsia="仿宋_GB2312" w:cs="仿宋_GB2312"/>
          <w:sz w:val="24"/>
          <w:u w:val="single"/>
        </w:rPr>
        <w:t>四川泸州川南发电有限责任公司</w:t>
      </w:r>
      <w:r>
        <w:rPr>
          <w:rFonts w:hint="eastAsia" w:ascii="仿宋_GB2312" w:hAnsi="仿宋_GB2312" w:eastAsia="仿宋_GB2312" w:cs="仿宋_GB2312"/>
          <w:b/>
          <w:sz w:val="24"/>
        </w:rPr>
        <w:t>：</w:t>
      </w:r>
    </w:p>
    <w:p w14:paraId="0A15F03F">
      <w:pPr>
        <w:tabs>
          <w:tab w:val="left" w:pos="900"/>
        </w:tabs>
        <w:adjustRightInd w:val="0"/>
        <w:snapToGri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我公司已充分了解汽水管道和受热面支吊架调整施工项目的全部工作内容，并完全了解和理解</w:t>
      </w:r>
      <w:r>
        <w:rPr>
          <w:rFonts w:hint="eastAsia" w:ascii="仿宋_GB2312" w:hAnsi="仿宋_GB2312" w:eastAsia="仿宋_GB2312" w:cs="仿宋_GB2312"/>
          <w:sz w:val="24"/>
          <w:u w:val="single"/>
        </w:rPr>
        <w:t>竞争性谈判</w:t>
      </w:r>
      <w:r>
        <w:rPr>
          <w:rFonts w:hint="eastAsia" w:ascii="仿宋_GB2312" w:hAnsi="仿宋_GB2312" w:eastAsia="仿宋_GB2312" w:cs="仿宋_GB2312"/>
          <w:sz w:val="24"/>
        </w:rPr>
        <w:t>文件的要求。我公司同意自报价截止之日起90天内，本次报价一直对我公司具有约束力，并随时被接受。</w:t>
      </w:r>
    </w:p>
    <w:p w14:paraId="102E37FE">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1.我方</w:t>
      </w:r>
      <w:r>
        <w:rPr>
          <w:rFonts w:ascii="仿宋_GB2312" w:hAnsi="仿宋_GB2312" w:eastAsia="仿宋_GB2312" w:cs="仿宋_GB2312"/>
          <w:sz w:val="24"/>
        </w:rPr>
        <w:t>承诺我公司</w:t>
      </w:r>
      <w:r>
        <w:rPr>
          <w:rFonts w:hint="eastAsia" w:ascii="仿宋_GB2312" w:hAnsi="仿宋_GB2312" w:eastAsia="仿宋_GB2312" w:cs="仿宋_GB2312"/>
          <w:sz w:val="24"/>
        </w:rPr>
        <w:t>依法设立，</w:t>
      </w:r>
      <w:r>
        <w:rPr>
          <w:rFonts w:hint="eastAsia" w:ascii="仿宋_GB2312" w:hAnsi="仿宋_GB2312" w:eastAsia="仿宋_GB2312" w:cs="仿宋_GB2312"/>
          <w:sz w:val="24"/>
          <w:lang w:eastAsia="zh-CN"/>
        </w:rPr>
        <w:t>合法经营，</w:t>
      </w:r>
      <w:r>
        <w:rPr>
          <w:rFonts w:hint="eastAsia" w:ascii="仿宋_GB2312" w:hAnsi="仿宋_GB2312" w:eastAsia="仿宋_GB2312" w:cs="仿宋_GB2312"/>
          <w:sz w:val="24"/>
        </w:rPr>
        <w:t>具有相应执业资质,具有与本项目相匹配的经营资质和经济技术能力，合法经营、依法执业，遵守法律法规、职业道德和行业准则，按规定通过了有关部门的年度检验，有良好的社会信誉、银行资信和商业信誉，近三年提供的服务未因重大服务质量等问题受到省国资委通报或受到行业协会严重处理，未被市场监管部门列入经营异常名录，并不存在下列情形：（1）曾违反中介服务合同约定给委托方造成重大损失的；（2）分别接受利益相对方委托，就同一事项提供有利益冲突的服务的；（3）存在弄虚作假、恶意串通、营私舞弊等严重不诚信行为；（4）存在与利益相对方单位负责人为同一人或者存在股权关系、管理关系的；（5）在本项目比选申请文件截止之日之前三年内，在经营活动中有重大违法记录，因重大责任问题受到相关行业、相关单位等严重处理（6）曾出具虚假或重大失实的业务报告的；（7）处于被责令停业，财产被接管、冻结、破产状态。</w:t>
      </w:r>
    </w:p>
    <w:p w14:paraId="02F87C59">
      <w:pPr>
        <w:adjustRightInd w:val="0"/>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2.若中选，</w:t>
      </w:r>
      <w:r>
        <w:rPr>
          <w:rFonts w:ascii="仿宋_GB2312" w:hAnsi="仿宋_GB2312" w:eastAsia="仿宋_GB2312" w:cs="仿宋_GB2312"/>
          <w:sz w:val="24"/>
        </w:rPr>
        <w:t>我</w:t>
      </w:r>
      <w:r>
        <w:rPr>
          <w:rFonts w:hint="eastAsia" w:ascii="仿宋_GB2312" w:hAnsi="仿宋_GB2312" w:eastAsia="仿宋_GB2312" w:cs="仿宋_GB2312"/>
          <w:sz w:val="24"/>
        </w:rPr>
        <w:t>方</w:t>
      </w:r>
      <w:r>
        <w:rPr>
          <w:rFonts w:ascii="仿宋_GB2312" w:hAnsi="仿宋_GB2312" w:eastAsia="仿宋_GB2312" w:cs="仿宋_GB2312"/>
          <w:sz w:val="24"/>
        </w:rPr>
        <w:t>承诺</w:t>
      </w:r>
      <w:r>
        <w:rPr>
          <w:rFonts w:hint="eastAsia" w:ascii="仿宋_GB2312" w:hAnsi="仿宋_GB2312" w:eastAsia="仿宋_GB2312" w:cs="仿宋_GB2312"/>
          <w:sz w:val="24"/>
        </w:rPr>
        <w:t>不对报价进行调整（国家调整税率、合同订立依据的现实或法律规定发生变动的除外），并</w:t>
      </w:r>
      <w:r>
        <w:rPr>
          <w:rFonts w:ascii="仿宋_GB2312" w:hAnsi="仿宋_GB2312" w:eastAsia="仿宋_GB2312" w:cs="仿宋_GB2312"/>
          <w:sz w:val="24"/>
        </w:rPr>
        <w:t>严格按照我方提供的技术方案和</w:t>
      </w:r>
      <w:r>
        <w:rPr>
          <w:rFonts w:hint="eastAsia" w:ascii="仿宋_GB2312" w:hAnsi="仿宋_GB2312" w:eastAsia="仿宋_GB2312" w:cs="仿宋_GB2312"/>
          <w:sz w:val="24"/>
        </w:rPr>
        <w:t>贵方</w:t>
      </w:r>
      <w:r>
        <w:rPr>
          <w:rFonts w:ascii="仿宋_GB2312" w:hAnsi="仿宋_GB2312" w:eastAsia="仿宋_GB2312" w:cs="仿宋_GB2312"/>
          <w:sz w:val="24"/>
        </w:rPr>
        <w:t>采购文件要求施工，并接受</w:t>
      </w:r>
      <w:r>
        <w:rPr>
          <w:rFonts w:hint="eastAsia" w:ascii="仿宋_GB2312" w:hAnsi="仿宋_GB2312" w:eastAsia="仿宋_GB2312" w:cs="仿宋_GB2312"/>
          <w:sz w:val="24"/>
        </w:rPr>
        <w:t>贵方的</w:t>
      </w:r>
      <w:r>
        <w:rPr>
          <w:rFonts w:ascii="仿宋_GB2312" w:hAnsi="仿宋_GB2312" w:eastAsia="仿宋_GB2312" w:cs="仿宋_GB2312"/>
          <w:sz w:val="24"/>
        </w:rPr>
        <w:t>监督及验收。若因我</w:t>
      </w:r>
      <w:r>
        <w:rPr>
          <w:rFonts w:hint="eastAsia" w:ascii="仿宋_GB2312" w:hAnsi="仿宋_GB2312" w:eastAsia="仿宋_GB2312" w:cs="仿宋_GB2312"/>
          <w:sz w:val="24"/>
        </w:rPr>
        <w:t>方</w:t>
      </w:r>
      <w:r>
        <w:rPr>
          <w:rFonts w:ascii="仿宋_GB2312" w:hAnsi="仿宋_GB2312" w:eastAsia="仿宋_GB2312" w:cs="仿宋_GB2312"/>
          <w:sz w:val="24"/>
        </w:rPr>
        <w:t>原因导致的工期延误，我</w:t>
      </w:r>
      <w:r>
        <w:rPr>
          <w:rFonts w:hint="eastAsia" w:ascii="仿宋_GB2312" w:hAnsi="仿宋_GB2312" w:eastAsia="仿宋_GB2312" w:cs="仿宋_GB2312"/>
          <w:sz w:val="24"/>
        </w:rPr>
        <w:t>方</w:t>
      </w:r>
      <w:r>
        <w:rPr>
          <w:rFonts w:ascii="仿宋_GB2312" w:hAnsi="仿宋_GB2312" w:eastAsia="仿宋_GB2312" w:cs="仿宋_GB2312"/>
          <w:sz w:val="24"/>
        </w:rPr>
        <w:t>承诺按合同条款要求进行赔偿，结算时</w:t>
      </w:r>
      <w:r>
        <w:rPr>
          <w:rFonts w:hint="eastAsia" w:ascii="仿宋_GB2312" w:hAnsi="仿宋_GB2312" w:eastAsia="仿宋_GB2312" w:cs="仿宋_GB2312"/>
          <w:sz w:val="24"/>
        </w:rPr>
        <w:t>贵方有权</w:t>
      </w:r>
      <w:r>
        <w:rPr>
          <w:rFonts w:ascii="仿宋_GB2312" w:hAnsi="仿宋_GB2312" w:eastAsia="仿宋_GB2312" w:cs="仿宋_GB2312"/>
          <w:sz w:val="24"/>
        </w:rPr>
        <w:t>从工程款中扣减。</w:t>
      </w:r>
    </w:p>
    <w:p w14:paraId="12F75ACC">
      <w:pPr>
        <w:tabs>
          <w:tab w:val="left" w:pos="900"/>
        </w:tabs>
        <w:adjustRightInd w:val="0"/>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若中选，我方自贵方发出中选通知书之日起，同贵方成立本项目的合同关系，并将按照采购文件的具体规定与贵方签订书面经济合同，严格履行合同义务，按时为工程提供优质的服务和成果。如果在合同执行过程中出现服务质量问题，我方承诺尽快更换/退货，并承担相应的经济责任。</w:t>
      </w:r>
    </w:p>
    <w:p w14:paraId="48EAF863">
      <w:pPr>
        <w:numPr>
          <w:ilvl w:val="0"/>
          <w:numId w:val="0"/>
        </w:numPr>
        <w:tabs>
          <w:tab w:val="left" w:pos="900"/>
        </w:tabs>
        <w:adjustRightInd w:val="0"/>
        <w:snapToGrid w:val="0"/>
        <w:spacing w:line="360" w:lineRule="auto"/>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lang w:eastAsia="zh-CN"/>
        </w:rPr>
        <w:t>若中选，因我方原因未按</w:t>
      </w:r>
      <w:r>
        <w:rPr>
          <w:rFonts w:hint="eastAsia" w:ascii="仿宋_GB2312" w:hAnsi="仿宋_GB2312" w:eastAsia="仿宋_GB2312" w:cs="仿宋_GB2312"/>
          <w:sz w:val="24"/>
          <w:u w:val="none"/>
          <w:lang w:val="en-US" w:eastAsia="zh-CN"/>
        </w:rPr>
        <w:t>竞争性谈判</w:t>
      </w:r>
      <w:r>
        <w:rPr>
          <w:rFonts w:hint="eastAsia" w:ascii="仿宋_GB2312" w:hAnsi="仿宋_GB2312" w:eastAsia="仿宋_GB2312" w:cs="仿宋_GB2312"/>
          <w:sz w:val="24"/>
          <w:lang w:eastAsia="zh-CN"/>
        </w:rPr>
        <w:t>文件要求与贵方签订书面合同</w:t>
      </w:r>
      <w:r>
        <w:rPr>
          <w:rFonts w:hint="eastAsia" w:ascii="仿宋_GB2312" w:hAnsi="仿宋_GB2312" w:eastAsia="仿宋_GB2312" w:cs="仿宋_GB2312"/>
          <w:sz w:val="24"/>
          <w:lang w:val="en-US" w:eastAsia="zh-CN"/>
        </w:rPr>
        <w:t>或自愿放弃中选资格的</w:t>
      </w:r>
      <w:r>
        <w:rPr>
          <w:rFonts w:hint="eastAsia" w:ascii="仿宋_GB2312" w:hAnsi="仿宋_GB2312" w:eastAsia="仿宋_GB2312" w:cs="仿宋_GB2312"/>
          <w:sz w:val="24"/>
          <w:lang w:eastAsia="zh-CN"/>
        </w:rPr>
        <w:t>，贵方有权取消我方中选资格并有权扣除我方的报价保证金。</w:t>
      </w:r>
    </w:p>
    <w:p w14:paraId="6AC5C6C4">
      <w:pPr>
        <w:tabs>
          <w:tab w:val="left" w:pos="900"/>
        </w:tabs>
        <w:adjustRightInd w:val="0"/>
        <w:snapToGrid w:val="0"/>
        <w:spacing w:line="360" w:lineRule="auto"/>
        <w:ind w:firstLine="480" w:firstLineChars="200"/>
        <w:rPr>
          <w:rFonts w:ascii="仿宋_GB2312" w:hAnsi="仿宋_GB2312" w:eastAsia="仿宋_GB2312" w:cs="仿宋_GB2312"/>
          <w:bCs/>
          <w:sz w:val="24"/>
        </w:rPr>
      </w:pPr>
      <w:r>
        <w:rPr>
          <w:rFonts w:hint="eastAsia" w:ascii="仿宋_GB2312" w:hAnsi="仿宋_GB2312" w:eastAsia="仿宋_GB2312" w:cs="仿宋_GB2312"/>
          <w:sz w:val="24"/>
        </w:rPr>
        <w:t>5.在整个竞争性谈判过程中，我方若有违规行为，贵方可按竞争性谈判文件之规定给予惩罚，我方完全接受</w:t>
      </w:r>
      <w:r>
        <w:rPr>
          <w:rFonts w:hint="eastAsia" w:ascii="仿宋_GB2312" w:hAnsi="仿宋_GB2312" w:eastAsia="仿宋_GB2312" w:cs="仿宋_GB2312"/>
          <w:bCs/>
          <w:sz w:val="24"/>
        </w:rPr>
        <w:t xml:space="preserve">。         </w:t>
      </w:r>
    </w:p>
    <w:p w14:paraId="7F086DAC">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报价人：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（盖单位公章）</w:t>
      </w:r>
    </w:p>
    <w:p w14:paraId="66F10529">
      <w:pPr>
        <w:widowControl/>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                                     法定代表人或其委托代理人（签字）：</w:t>
      </w:r>
      <w:r>
        <w:rPr>
          <w:rFonts w:hint="eastAsia" w:ascii="仿宋_GB2312" w:hAnsi="仿宋_GB2312" w:eastAsia="仿宋_GB2312" w:cs="仿宋_GB2312"/>
          <w:sz w:val="24"/>
          <w:u w:val="single"/>
        </w:rPr>
        <w:t xml:space="preserve">                  </w:t>
      </w:r>
    </w:p>
    <w:p w14:paraId="21BD8397">
      <w:pPr>
        <w:spacing w:line="576"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3F2155C9">
      <w:pPr>
        <w:pStyle w:val="10"/>
        <w:rPr>
          <w:rFonts w:hint="eastAsia" w:ascii="仿宋_GB2312" w:hAnsi="仿宋_GB2312" w:eastAsia="仿宋_GB2312" w:cs="仿宋_GB2312"/>
          <w:sz w:val="24"/>
        </w:rPr>
      </w:pPr>
    </w:p>
    <w:p w14:paraId="52D51D12">
      <w:pPr>
        <w:pStyle w:val="10"/>
        <w:rPr>
          <w:rFonts w:hint="eastAsia" w:ascii="仿宋_GB2312" w:hAnsi="仿宋_GB2312" w:eastAsia="仿宋_GB2312" w:cs="仿宋_GB2312"/>
          <w:sz w:val="24"/>
        </w:rPr>
      </w:pPr>
    </w:p>
    <w:p w14:paraId="73FA9B71">
      <w:pPr>
        <w:pStyle w:val="10"/>
        <w:rPr>
          <w:rFonts w:hint="eastAsia" w:ascii="仿宋_GB2312" w:hAnsi="仿宋_GB2312" w:eastAsia="仿宋_GB2312" w:cs="仿宋_GB2312"/>
          <w:sz w:val="24"/>
        </w:rPr>
      </w:pPr>
    </w:p>
    <w:p w14:paraId="14CA729A">
      <w:pPr>
        <w:pStyle w:val="10"/>
        <w:rPr>
          <w:rFonts w:hint="eastAsia" w:ascii="仿宋_GB2312" w:hAnsi="仿宋_GB2312" w:eastAsia="仿宋_GB2312" w:cs="仿宋_GB2312"/>
          <w:sz w:val="24"/>
        </w:rPr>
      </w:pPr>
    </w:p>
    <w:p w14:paraId="395C142A">
      <w:pPr>
        <w:pStyle w:val="10"/>
        <w:rPr>
          <w:rFonts w:hint="eastAsia" w:ascii="仿宋_GB2312" w:hAnsi="仿宋_GB2312" w:eastAsia="仿宋_GB2312" w:cs="仿宋_GB2312"/>
          <w:sz w:val="24"/>
        </w:rPr>
      </w:pPr>
      <w:r>
        <w:rPr>
          <w:rFonts w:hint="eastAsia"/>
          <w:b/>
          <w:bCs w:val="0"/>
          <w:lang w:eastAsia="zh-CN"/>
        </w:rPr>
        <w:t>附件</w:t>
      </w:r>
      <w:r>
        <w:rPr>
          <w:rFonts w:hint="eastAsia"/>
          <w:b/>
          <w:bCs w:val="0"/>
          <w:lang w:val="en-US" w:eastAsia="zh-CN"/>
        </w:rPr>
        <w:t>5</w:t>
      </w:r>
      <w:r>
        <w:rPr>
          <w:rFonts w:hint="eastAsia"/>
          <w:b/>
          <w:bCs w:val="0"/>
          <w:lang w:eastAsia="zh-CN"/>
        </w:rPr>
        <w:t>：</w:t>
      </w:r>
    </w:p>
    <w:p w14:paraId="10BBA001">
      <w:pPr>
        <w:pStyle w:val="10"/>
        <w:rPr>
          <w:rFonts w:hint="eastAsia" w:ascii="仿宋_GB2312" w:hAnsi="仿宋_GB2312" w:eastAsia="仿宋_GB2312" w:cs="仿宋_GB2312"/>
          <w:sz w:val="24"/>
        </w:rPr>
      </w:pPr>
    </w:p>
    <w:p w14:paraId="38BB3075">
      <w:pPr>
        <w:pStyle w:val="13"/>
        <w:adjustRightInd/>
        <w:spacing w:line="576" w:lineRule="exact"/>
        <w:rPr>
          <w:rFonts w:hint="eastAsia" w:ascii="方正小标宋简体" w:hAnsi="方正小标宋简体" w:eastAsia="方正小标宋简体" w:cs="方正小标宋简体"/>
          <w:b w:val="0"/>
          <w:bCs w:val="0"/>
          <w:kern w:val="44"/>
          <w:sz w:val="44"/>
          <w:szCs w:val="44"/>
          <w:highlight w:val="none"/>
          <w:lang w:val="zh-CN"/>
        </w:rPr>
      </w:pPr>
      <w:r>
        <w:rPr>
          <w:rFonts w:hint="eastAsia" w:ascii="方正小标宋简体" w:hAnsi="方正小标宋简体" w:eastAsia="方正小标宋简体" w:cs="方正小标宋简体"/>
          <w:b w:val="0"/>
          <w:bCs w:val="0"/>
          <w:kern w:val="44"/>
          <w:sz w:val="44"/>
          <w:szCs w:val="44"/>
          <w:highlight w:val="none"/>
          <w:lang w:val="zh-CN"/>
        </w:rPr>
        <w:t>资格的声明函</w:t>
      </w:r>
    </w:p>
    <w:p w14:paraId="48F0B833">
      <w:pPr>
        <w:pStyle w:val="6"/>
        <w:spacing w:line="576" w:lineRule="exact"/>
        <w:ind w:left="5250"/>
        <w:rPr>
          <w:rFonts w:hint="eastAsia" w:ascii="仿宋_GB2312" w:hAnsi="仿宋_GB2312" w:eastAsia="仿宋_GB2312" w:cs="仿宋_GB2312"/>
          <w:color w:val="auto"/>
          <w:sz w:val="24"/>
          <w:szCs w:val="24"/>
          <w:highlight w:val="none"/>
        </w:rPr>
      </w:pPr>
    </w:p>
    <w:p w14:paraId="453AE292">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p>
    <w:p w14:paraId="58180588">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4D8CC3F0">
      <w:pPr>
        <w:pStyle w:val="6"/>
        <w:spacing w:line="576" w:lineRule="exact"/>
        <w:ind w:left="5250"/>
        <w:rPr>
          <w:rFonts w:hint="eastAsia" w:ascii="仿宋_GB2312" w:hAnsi="仿宋_GB2312" w:eastAsia="仿宋_GB2312" w:cs="仿宋_GB2312"/>
          <w:color w:val="auto"/>
          <w:sz w:val="24"/>
          <w:szCs w:val="24"/>
          <w:highlight w:val="none"/>
        </w:rPr>
      </w:pPr>
    </w:p>
    <w:p w14:paraId="616EAFA0">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致: </w:t>
      </w:r>
      <w:r>
        <w:rPr>
          <w:rFonts w:hint="eastAsia" w:ascii="仿宋_GB2312" w:hAnsi="仿宋_GB2312" w:eastAsia="仿宋_GB2312" w:cs="仿宋_GB2312"/>
          <w:color w:val="auto"/>
          <w:sz w:val="24"/>
          <w:szCs w:val="24"/>
          <w:highlight w:val="none"/>
          <w:u w:val="single"/>
        </w:rPr>
        <w:t xml:space="preserve">                         </w:t>
      </w:r>
    </w:p>
    <w:p w14:paraId="237C8F3E">
      <w:pPr>
        <w:spacing w:line="576" w:lineRule="exact"/>
        <w:rPr>
          <w:rFonts w:hint="eastAsia" w:ascii="仿宋_GB2312" w:hAnsi="仿宋_GB2312" w:eastAsia="仿宋_GB2312" w:cs="仿宋_GB2312"/>
          <w:color w:val="auto"/>
          <w:sz w:val="24"/>
          <w:szCs w:val="24"/>
          <w:highlight w:val="none"/>
        </w:rPr>
      </w:pPr>
    </w:p>
    <w:p w14:paraId="52F292F8">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我公司</w:t>
      </w:r>
      <w:r>
        <w:rPr>
          <w:rFonts w:hint="eastAsia" w:ascii="仿宋_GB2312" w:hAnsi="仿宋_GB2312" w:eastAsia="仿宋_GB2312" w:cs="仿宋_GB2312"/>
          <w:color w:val="auto"/>
          <w:sz w:val="24"/>
          <w:szCs w:val="24"/>
          <w:highlight w:val="none"/>
          <w:lang w:val="en-US" w:eastAsia="zh-CN"/>
        </w:rPr>
        <w:t>自愿</w:t>
      </w:r>
      <w:r>
        <w:rPr>
          <w:rFonts w:hint="eastAsia" w:ascii="仿宋_GB2312" w:hAnsi="仿宋_GB2312" w:eastAsia="仿宋_GB2312" w:cs="仿宋_GB2312"/>
          <w:color w:val="auto"/>
          <w:sz w:val="24"/>
          <w:szCs w:val="24"/>
          <w:highlight w:val="none"/>
        </w:rPr>
        <w:t>针对上述项目进行</w:t>
      </w:r>
      <w:r>
        <w:rPr>
          <w:rFonts w:hint="eastAsia" w:ascii="仿宋_GB2312" w:hAnsi="仿宋_GB2312" w:eastAsia="仿宋_GB2312" w:cs="仿宋_GB2312"/>
          <w:color w:val="auto"/>
          <w:sz w:val="24"/>
          <w:szCs w:val="24"/>
          <w:highlight w:val="none"/>
          <w:lang w:eastAsia="zh-CN"/>
        </w:rPr>
        <w:t>报价申请</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文件中所有关于</w:t>
      </w: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人资格的文件、证明、陈述均是真实的、准确的。若有违背，我公司愿为由此而产生的一切后果负责。</w:t>
      </w:r>
    </w:p>
    <w:p w14:paraId="399385BE">
      <w:pPr>
        <w:spacing w:line="576"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特此声明</w:t>
      </w:r>
      <w:r>
        <w:rPr>
          <w:rFonts w:hint="eastAsia" w:ascii="仿宋_GB2312" w:hAnsi="仿宋_GB2312" w:eastAsia="仿宋_GB2312" w:cs="仿宋_GB2312"/>
          <w:color w:val="auto"/>
          <w:sz w:val="24"/>
          <w:szCs w:val="24"/>
          <w:highlight w:val="none"/>
          <w:lang w:eastAsia="zh-CN"/>
        </w:rPr>
        <w:t>。</w:t>
      </w:r>
    </w:p>
    <w:p w14:paraId="6C74132A">
      <w:pPr>
        <w:spacing w:line="576" w:lineRule="exact"/>
        <w:ind w:firstLine="4800" w:firstLineChars="20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70065F47">
      <w:pPr>
        <w:widowControl w:val="0"/>
        <w:autoSpaceDE w:val="0"/>
        <w:autoSpaceDN w:val="0"/>
        <w:spacing w:line="440" w:lineRule="exact"/>
        <w:ind w:firstLine="4800" w:firstLineChars="2000"/>
        <w:jc w:val="left"/>
        <w:rPr>
          <w:rFonts w:hint="eastAsia" w:ascii="仿宋_GB2312" w:hAnsi="仿宋_GB2312" w:eastAsia="仿宋_GB2312" w:cs="仿宋_GB2312"/>
          <w:sz w:val="24"/>
          <w:u w:val="none"/>
          <w:lang w:eastAsia="zh-CN"/>
        </w:rPr>
      </w:pPr>
      <w:r>
        <w:rPr>
          <w:rFonts w:hint="eastAsia" w:ascii="仿宋_GB2312" w:hAnsi="仿宋_GB2312" w:eastAsia="仿宋_GB2312" w:cs="仿宋_GB2312"/>
          <w:color w:val="auto"/>
          <w:sz w:val="24"/>
          <w:szCs w:val="24"/>
          <w:highlight w:val="none"/>
          <w:lang w:eastAsia="zh-CN"/>
        </w:rPr>
        <w:t>报价</w:t>
      </w:r>
      <w:r>
        <w:rPr>
          <w:rFonts w:hint="eastAsia" w:ascii="仿宋_GB2312" w:hAnsi="仿宋_GB2312" w:eastAsia="仿宋_GB2312" w:cs="仿宋_GB2312"/>
          <w:color w:val="auto"/>
          <w:sz w:val="24"/>
          <w:szCs w:val="24"/>
          <w:highlight w:val="none"/>
        </w:rPr>
        <w:t>人公章：</w:t>
      </w:r>
      <w:r>
        <w:rPr>
          <w:rFonts w:hint="eastAsia" w:ascii="仿宋_GB2312" w:hAnsi="仿宋_GB2312" w:eastAsia="仿宋_GB2312" w:cs="仿宋_GB2312"/>
          <w:b/>
          <w:color w:val="auto"/>
          <w:sz w:val="24"/>
          <w:szCs w:val="24"/>
          <w:highlight w:val="none"/>
          <w:u w:val="single"/>
          <w:lang w:eastAsia="zh-CN"/>
        </w:rPr>
        <w:t xml:space="preserve"> </w:t>
      </w:r>
      <w:r>
        <w:rPr>
          <w:rFonts w:hint="eastAsia" w:ascii="仿宋_GB2312" w:hAnsi="仿宋_GB2312" w:eastAsia="仿宋_GB2312" w:cs="仿宋_GB2312"/>
          <w:b/>
          <w:color w:val="auto"/>
          <w:sz w:val="24"/>
          <w:szCs w:val="24"/>
          <w:highlight w:val="none"/>
          <w:u w:val="single"/>
          <w:lang w:val="en-US" w:eastAsia="zh-CN"/>
        </w:rPr>
        <w:t xml:space="preserve">                                </w:t>
      </w:r>
    </w:p>
    <w:p w14:paraId="2FA21EF1">
      <w:pPr>
        <w:widowControl w:val="0"/>
        <w:autoSpaceDE w:val="0"/>
        <w:autoSpaceDN w:val="0"/>
        <w:spacing w:line="440" w:lineRule="exact"/>
        <w:ind w:firstLine="4800" w:firstLineChars="2000"/>
        <w:jc w:val="lef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sz w:val="24"/>
          <w:u w:val="none"/>
          <w:lang w:eastAsia="zh-CN"/>
        </w:rPr>
        <w:t>澄清文件收发邮箱地址：</w:t>
      </w:r>
      <w:r>
        <w:rPr>
          <w:rFonts w:hint="eastAsia" w:ascii="仿宋_GB2312" w:hAnsi="仿宋_GB2312" w:eastAsia="仿宋_GB2312" w:cs="仿宋_GB2312"/>
          <w:sz w:val="24"/>
          <w:u w:val="single"/>
          <w:lang w:val="en-US" w:eastAsia="zh-CN"/>
        </w:rPr>
        <w:t xml:space="preserve">                        </w:t>
      </w:r>
    </w:p>
    <w:p w14:paraId="725E058C">
      <w:pPr>
        <w:pStyle w:val="10"/>
        <w:ind w:firstLine="4800" w:firstLineChars="2000"/>
        <w:rPr>
          <w:rFonts w:hint="eastAsia" w:ascii="仿宋_GB2312" w:hAnsi="仿宋_GB2312" w:eastAsia="仿宋_GB2312" w:cs="仿宋_GB2312"/>
          <w:sz w:val="24"/>
        </w:rPr>
      </w:pPr>
      <w:r>
        <w:rPr>
          <w:rFonts w:hint="eastAsia" w:ascii="仿宋_GB2312" w:hAnsi="仿宋_GB2312" w:eastAsia="仿宋_GB2312" w:cs="仿宋_GB2312"/>
          <w:bCs w:val="0"/>
          <w:spacing w:val="0"/>
          <w:kern w:val="2"/>
          <w:sz w:val="24"/>
          <w:u w:val="none"/>
          <w:lang w:val="en-US" w:eastAsia="zh-CN"/>
        </w:rPr>
        <w:t>送达地址：</w:t>
      </w:r>
      <w:r>
        <w:rPr>
          <w:rFonts w:hint="eastAsia" w:ascii="仿宋_GB2312" w:hAnsi="仿宋_GB2312" w:eastAsia="仿宋_GB2312" w:cs="仿宋_GB2312"/>
          <w:bCs w:val="0"/>
          <w:spacing w:val="0"/>
          <w:kern w:val="2"/>
          <w:sz w:val="24"/>
          <w:u w:val="single"/>
          <w:lang w:val="en-US" w:eastAsia="zh-CN"/>
        </w:rPr>
        <w:t xml:space="preserve">  （中选后合同及合同履行资料邮寄地址</w:t>
      </w:r>
      <w:r>
        <w:rPr>
          <w:rFonts w:hint="eastAsia" w:ascii="仿宋_GB2312" w:hAnsi="仿宋_GB2312" w:eastAsia="仿宋_GB2312" w:cs="仿宋_GB2312"/>
          <w:bCs w:val="0"/>
          <w:spacing w:val="0"/>
          <w:kern w:val="2"/>
          <w:sz w:val="24"/>
          <w:u w:val="none"/>
          <w:lang w:val="en-US" w:eastAsia="zh-CN"/>
        </w:rPr>
        <w:t>）</w:t>
      </w:r>
    </w:p>
    <w:p w14:paraId="21524778">
      <w:pPr>
        <w:rPr>
          <w:rFonts w:hint="default"/>
          <w:lang w:val="zh-CN" w:eastAsia="zh-CN"/>
        </w:rPr>
      </w:pPr>
    </w:p>
    <w:p w14:paraId="7DD6781E">
      <w:pPr>
        <w:pStyle w:val="10"/>
        <w:widowControl w:val="0"/>
        <w:numPr>
          <w:ilvl w:val="0"/>
          <w:numId w:val="0"/>
        </w:numPr>
        <w:spacing w:line="360" w:lineRule="auto"/>
        <w:jc w:val="both"/>
        <w:rPr>
          <w:rFonts w:hint="default" w:ascii="仿宋_GB2312" w:hAnsi="仿宋_GB2312" w:eastAsia="仿宋_GB2312" w:cs="仿宋_GB2312"/>
          <w:bCs w:val="0"/>
          <w:spacing w:val="0"/>
          <w:kern w:val="2"/>
          <w:sz w:val="24"/>
          <w:szCs w:val="24"/>
          <w:lang w:val="en-US" w:eastAsia="zh-CN" w:bidi="ar-SA"/>
        </w:rPr>
      </w:pPr>
    </w:p>
    <w:p w14:paraId="67BBDEC7"/>
    <w:p w14:paraId="71CB78B6">
      <w:pPr>
        <w:pStyle w:val="4"/>
      </w:pPr>
    </w:p>
    <w:p w14:paraId="2D882933"/>
    <w:p w14:paraId="0406BA30">
      <w:pPr>
        <w:pStyle w:val="4"/>
      </w:pPr>
    </w:p>
    <w:p w14:paraId="5DADF7A4"/>
    <w:p w14:paraId="7851DE33">
      <w:pPr>
        <w:pStyle w:val="4"/>
      </w:pPr>
    </w:p>
    <w:p w14:paraId="0E100799"/>
    <w:p w14:paraId="11E4F26F">
      <w:pPr>
        <w:pStyle w:val="4"/>
      </w:pPr>
    </w:p>
    <w:p w14:paraId="23E938CC"/>
    <w:p w14:paraId="7FAAF9A6">
      <w:pPr>
        <w:pStyle w:val="4"/>
      </w:pPr>
    </w:p>
    <w:p w14:paraId="509283DE"/>
    <w:p w14:paraId="52DA76C4">
      <w:pPr>
        <w:pStyle w:val="4"/>
      </w:pPr>
    </w:p>
    <w:p w14:paraId="7E9F7ED7"/>
    <w:p w14:paraId="50E745BB">
      <w:pPr>
        <w:pStyle w:val="4"/>
      </w:pPr>
    </w:p>
    <w:p w14:paraId="737F9EBC"/>
    <w:p w14:paraId="3D04D09B">
      <w:pPr>
        <w:pStyle w:val="4"/>
      </w:pPr>
    </w:p>
    <w:p w14:paraId="002AF01B"/>
    <w:p w14:paraId="046853C8">
      <w:pPr>
        <w:spacing w:line="576" w:lineRule="exact"/>
        <w:jc w:val="both"/>
        <w:rPr>
          <w:rFonts w:hint="eastAsia" w:ascii="Times New Roman" w:hAnsi="Times New Roman" w:eastAsia="宋体" w:cs="Times New Roman"/>
          <w:b/>
          <w:bCs w:val="0"/>
          <w:kern w:val="0"/>
          <w:sz w:val="21"/>
          <w:szCs w:val="24"/>
          <w:highlight w:val="none"/>
          <w:lang w:val="zh-CN"/>
        </w:rPr>
      </w:pPr>
      <w:r>
        <w:rPr>
          <w:rFonts w:hint="eastAsia" w:ascii="Times New Roman" w:hAnsi="Times New Roman" w:eastAsia="宋体" w:cs="Times New Roman"/>
          <w:b/>
          <w:bCs w:val="0"/>
          <w:kern w:val="0"/>
          <w:sz w:val="21"/>
          <w:szCs w:val="24"/>
          <w:highlight w:val="none"/>
          <w:lang w:val="zh-CN"/>
        </w:rPr>
        <w:t>附件</w:t>
      </w:r>
      <w:r>
        <w:rPr>
          <w:rFonts w:hint="eastAsia" w:ascii="Times New Roman" w:hAnsi="Times New Roman" w:eastAsia="宋体" w:cs="Times New Roman"/>
          <w:b/>
          <w:bCs w:val="0"/>
          <w:kern w:val="0"/>
          <w:sz w:val="21"/>
          <w:szCs w:val="24"/>
          <w:highlight w:val="none"/>
          <w:lang w:val="en-US" w:eastAsia="zh-CN"/>
        </w:rPr>
        <w:t>6</w:t>
      </w:r>
      <w:r>
        <w:rPr>
          <w:rFonts w:hint="eastAsia" w:ascii="Times New Roman" w:hAnsi="Times New Roman" w:eastAsia="宋体" w:cs="Times New Roman"/>
          <w:b/>
          <w:bCs w:val="0"/>
          <w:kern w:val="0"/>
          <w:sz w:val="21"/>
          <w:szCs w:val="24"/>
          <w:highlight w:val="none"/>
          <w:lang w:val="zh-CN"/>
        </w:rPr>
        <w:t>：</w:t>
      </w:r>
    </w:p>
    <w:p w14:paraId="36613829">
      <w:pPr>
        <w:pStyle w:val="4"/>
        <w:jc w:val="center"/>
        <w:rPr>
          <w:rFonts w:hint="eastAsia" w:ascii="仿宋_GB2312" w:hAnsi="仿宋_GB2312" w:eastAsia="仿宋_GB2312" w:cs="仿宋_GB2312"/>
          <w:b/>
          <w:bCs/>
          <w:color w:val="auto"/>
          <w:kern w:val="2"/>
          <w:sz w:val="24"/>
          <w:szCs w:val="24"/>
          <w:highlight w:val="none"/>
          <w:lang w:val="en-US" w:eastAsia="zh-CN" w:bidi="ar-SA"/>
        </w:rPr>
      </w:pPr>
    </w:p>
    <w:p w14:paraId="30514D1D">
      <w:pPr>
        <w:pStyle w:val="4"/>
        <w:jc w:val="center"/>
        <w:rPr>
          <w:rFonts w:hint="eastAsia" w:ascii="仿宋_GB2312" w:hAnsi="仿宋_GB2312" w:eastAsia="仿宋_GB2312" w:cs="仿宋_GB2312"/>
          <w:b/>
          <w:bCs/>
          <w:color w:val="auto"/>
          <w:kern w:val="2"/>
          <w:sz w:val="24"/>
          <w:szCs w:val="24"/>
          <w:highlight w:val="none"/>
          <w:lang w:val="en-US" w:eastAsia="zh-CN" w:bidi="ar-SA"/>
        </w:rPr>
      </w:pPr>
    </w:p>
    <w:p w14:paraId="0B304812">
      <w:pPr>
        <w:pStyle w:val="4"/>
        <w:jc w:val="center"/>
        <w:rPr>
          <w:rFonts w:hint="eastAsia" w:ascii="仿宋_GB2312" w:hAnsi="仿宋_GB2312" w:eastAsia="仿宋_GB2312" w:cs="仿宋_GB2312"/>
          <w:color w:val="auto"/>
          <w:kern w:val="2"/>
          <w:sz w:val="24"/>
          <w:szCs w:val="24"/>
          <w:highlight w:val="none"/>
          <w:lang w:val="en-US" w:eastAsia="zh-CN" w:bidi="ar-SA"/>
        </w:rPr>
      </w:pPr>
    </w:p>
    <w:p w14:paraId="08BFF053">
      <w:pPr>
        <w:pStyle w:val="4"/>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人员配备表（报价人填写）</w:t>
      </w:r>
    </w:p>
    <w:p w14:paraId="571A5313">
      <w:pPr>
        <w:rPr>
          <w:rFonts w:hint="eastAsia"/>
          <w:lang w:val="en-US" w:eastAsia="zh-CN"/>
        </w:rPr>
      </w:pPr>
    </w:p>
    <w:tbl>
      <w:tblPr>
        <w:tblStyle w:val="7"/>
        <w:tblW w:w="8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93"/>
        <w:gridCol w:w="780"/>
        <w:gridCol w:w="747"/>
        <w:gridCol w:w="1629"/>
        <w:gridCol w:w="1807"/>
        <w:gridCol w:w="1524"/>
      </w:tblGrid>
      <w:tr w14:paraId="3D25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blHeader/>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03969D2D">
            <w:pPr>
              <w:tabs>
                <w:tab w:val="left" w:pos="5427"/>
              </w:tabs>
              <w:spacing w:line="4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A3FAA94">
            <w:pPr>
              <w:tabs>
                <w:tab w:val="left" w:pos="5427"/>
              </w:tabs>
              <w:spacing w:line="4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姓名</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6786DB5">
            <w:pPr>
              <w:tabs>
                <w:tab w:val="left" w:pos="5427"/>
              </w:tabs>
              <w:spacing w:line="4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性别</w:t>
            </w:r>
          </w:p>
        </w:tc>
        <w:tc>
          <w:tcPr>
            <w:tcW w:w="747" w:type="dxa"/>
            <w:tcBorders>
              <w:top w:val="single" w:color="auto" w:sz="4" w:space="0"/>
              <w:left w:val="single" w:color="auto" w:sz="4" w:space="0"/>
              <w:bottom w:val="single" w:color="auto" w:sz="4" w:space="0"/>
              <w:right w:val="single" w:color="auto" w:sz="4" w:space="0"/>
            </w:tcBorders>
            <w:noWrap w:val="0"/>
            <w:vAlign w:val="center"/>
          </w:tcPr>
          <w:p w14:paraId="46A2A205">
            <w:pPr>
              <w:tabs>
                <w:tab w:val="left" w:pos="5427"/>
              </w:tabs>
              <w:spacing w:line="4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年龄</w:t>
            </w:r>
          </w:p>
        </w:tc>
        <w:tc>
          <w:tcPr>
            <w:tcW w:w="1629" w:type="dxa"/>
            <w:tcBorders>
              <w:top w:val="single" w:color="auto" w:sz="4" w:space="0"/>
              <w:left w:val="single" w:color="auto" w:sz="4" w:space="0"/>
              <w:bottom w:val="single" w:color="auto" w:sz="4" w:space="0"/>
              <w:right w:val="single" w:color="auto" w:sz="4" w:space="0"/>
            </w:tcBorders>
            <w:noWrap w:val="0"/>
            <w:vAlign w:val="center"/>
          </w:tcPr>
          <w:p w14:paraId="392B02DA">
            <w:pPr>
              <w:tabs>
                <w:tab w:val="left" w:pos="5427"/>
              </w:tabs>
              <w:spacing w:line="44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工种</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6A3FE47">
            <w:pPr>
              <w:tabs>
                <w:tab w:val="left" w:pos="5427"/>
              </w:tabs>
              <w:spacing w:line="440" w:lineRule="exact"/>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学历/职称</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1FC4D61">
            <w:pPr>
              <w:tabs>
                <w:tab w:val="left" w:pos="5427"/>
              </w:tabs>
              <w:spacing w:line="44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备注</w:t>
            </w:r>
          </w:p>
        </w:tc>
      </w:tr>
      <w:tr w14:paraId="02A9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4C25BC70">
            <w:pPr>
              <w:tabs>
                <w:tab w:val="left" w:pos="5427"/>
              </w:tabs>
              <w:spacing w:line="440" w:lineRule="exact"/>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0F1486D">
            <w:pPr>
              <w:tabs>
                <w:tab w:val="left" w:pos="5427"/>
              </w:tabs>
              <w:spacing w:line="440" w:lineRule="exact"/>
              <w:jc w:val="center"/>
              <w:rPr>
                <w:rFonts w:hint="eastAsia" w:ascii="仿宋_GB2312" w:hAnsi="仿宋_GB2312" w:eastAsia="仿宋_GB2312" w:cs="仿宋_GB2312"/>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D090C76">
            <w:pPr>
              <w:tabs>
                <w:tab w:val="left" w:pos="5427"/>
              </w:tabs>
              <w:spacing w:line="440" w:lineRule="exact"/>
              <w:jc w:val="center"/>
              <w:rPr>
                <w:rFonts w:hint="eastAsia" w:ascii="仿宋_GB2312" w:hAnsi="仿宋_GB2312" w:eastAsia="仿宋_GB2312" w:cs="仿宋_GB2312"/>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6CADD3B5">
            <w:pPr>
              <w:tabs>
                <w:tab w:val="left" w:pos="5427"/>
              </w:tabs>
              <w:spacing w:line="440" w:lineRule="exact"/>
              <w:jc w:val="center"/>
              <w:rPr>
                <w:rFonts w:hint="eastAsia" w:ascii="仿宋_GB2312" w:hAnsi="仿宋_GB2312" w:eastAsia="仿宋_GB2312" w:cs="仿宋_GB2312"/>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6F19D8BC">
            <w:pPr>
              <w:tabs>
                <w:tab w:val="left" w:pos="5427"/>
              </w:tabs>
              <w:spacing w:line="44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焊工</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CF8FE9D">
            <w:pPr>
              <w:tabs>
                <w:tab w:val="left" w:pos="5427"/>
              </w:tabs>
              <w:spacing w:line="440" w:lineRule="exact"/>
              <w:jc w:val="center"/>
              <w:rPr>
                <w:rFonts w:hint="eastAsia" w:ascii="仿宋_GB2312" w:hAnsi="仿宋_GB2312" w:eastAsia="仿宋_GB2312" w:cs="仿宋_GB2312"/>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F1B0A51">
            <w:pPr>
              <w:tabs>
                <w:tab w:val="left" w:pos="5427"/>
              </w:tabs>
              <w:spacing w:line="440" w:lineRule="exact"/>
              <w:jc w:val="center"/>
              <w:rPr>
                <w:rFonts w:hint="eastAsia" w:ascii="仿宋_GB2312" w:hAnsi="仿宋_GB2312" w:eastAsia="仿宋_GB2312" w:cs="仿宋_GB2312"/>
                <w:sz w:val="24"/>
                <w:szCs w:val="24"/>
                <w:highlight w:val="none"/>
              </w:rPr>
            </w:pPr>
          </w:p>
        </w:tc>
      </w:tr>
      <w:tr w14:paraId="6BB0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6D77286D">
            <w:pPr>
              <w:tabs>
                <w:tab w:val="left" w:pos="5427"/>
              </w:tabs>
              <w:spacing w:line="4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881B195">
            <w:pPr>
              <w:tabs>
                <w:tab w:val="left" w:pos="5427"/>
              </w:tabs>
              <w:spacing w:line="440" w:lineRule="exact"/>
              <w:jc w:val="center"/>
              <w:rPr>
                <w:rFonts w:hint="eastAsia" w:ascii="仿宋_GB2312" w:hAnsi="仿宋_GB2312" w:eastAsia="仿宋_GB2312" w:cs="仿宋_GB2312"/>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3DC9AB7F">
            <w:pPr>
              <w:tabs>
                <w:tab w:val="left" w:pos="5427"/>
              </w:tabs>
              <w:spacing w:line="440" w:lineRule="exact"/>
              <w:jc w:val="center"/>
              <w:rPr>
                <w:rFonts w:hint="eastAsia" w:ascii="仿宋_GB2312" w:hAnsi="仿宋_GB2312" w:eastAsia="仿宋_GB2312" w:cs="仿宋_GB2312"/>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00CEA49D">
            <w:pPr>
              <w:tabs>
                <w:tab w:val="left" w:pos="5427"/>
              </w:tabs>
              <w:spacing w:line="440" w:lineRule="exact"/>
              <w:jc w:val="center"/>
              <w:rPr>
                <w:rFonts w:hint="eastAsia" w:ascii="仿宋_GB2312" w:hAnsi="仿宋_GB2312" w:eastAsia="仿宋_GB2312" w:cs="仿宋_GB2312"/>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460D112B">
            <w:pPr>
              <w:tabs>
                <w:tab w:val="left" w:pos="5427"/>
              </w:tabs>
              <w:spacing w:line="4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焊工</w:t>
            </w: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F030AD6">
            <w:pPr>
              <w:tabs>
                <w:tab w:val="left" w:pos="5427"/>
              </w:tabs>
              <w:spacing w:line="440" w:lineRule="exact"/>
              <w:jc w:val="center"/>
              <w:rPr>
                <w:rFonts w:hint="eastAsia" w:ascii="仿宋_GB2312" w:hAnsi="仿宋_GB2312" w:eastAsia="仿宋_GB2312" w:cs="仿宋_GB2312"/>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8ECAE32">
            <w:pPr>
              <w:tabs>
                <w:tab w:val="left" w:pos="5427"/>
              </w:tabs>
              <w:spacing w:line="440" w:lineRule="exact"/>
              <w:jc w:val="center"/>
              <w:rPr>
                <w:rFonts w:hint="eastAsia" w:ascii="仿宋_GB2312" w:hAnsi="仿宋_GB2312" w:eastAsia="仿宋_GB2312" w:cs="仿宋_GB2312"/>
                <w:sz w:val="24"/>
                <w:szCs w:val="24"/>
                <w:highlight w:val="none"/>
              </w:rPr>
            </w:pPr>
          </w:p>
        </w:tc>
      </w:tr>
      <w:tr w14:paraId="5E2E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16DE569">
            <w:pPr>
              <w:tabs>
                <w:tab w:val="left" w:pos="5427"/>
              </w:tabs>
              <w:spacing w:line="4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004B8B0C">
            <w:pPr>
              <w:tabs>
                <w:tab w:val="left" w:pos="5427"/>
              </w:tabs>
              <w:spacing w:line="440" w:lineRule="exact"/>
              <w:jc w:val="center"/>
              <w:rPr>
                <w:rFonts w:hint="eastAsia" w:ascii="仿宋_GB2312" w:hAnsi="仿宋_GB2312" w:eastAsia="仿宋_GB2312" w:cs="仿宋_GB2312"/>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5A50BC5">
            <w:pPr>
              <w:tabs>
                <w:tab w:val="left" w:pos="5427"/>
              </w:tabs>
              <w:spacing w:line="440" w:lineRule="exact"/>
              <w:jc w:val="center"/>
              <w:rPr>
                <w:rFonts w:hint="eastAsia" w:ascii="仿宋_GB2312" w:hAnsi="仿宋_GB2312" w:eastAsia="仿宋_GB2312" w:cs="仿宋_GB2312"/>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2B08A846">
            <w:pPr>
              <w:tabs>
                <w:tab w:val="left" w:pos="5427"/>
              </w:tabs>
              <w:spacing w:line="440" w:lineRule="exact"/>
              <w:jc w:val="center"/>
              <w:rPr>
                <w:rFonts w:hint="eastAsia" w:ascii="仿宋_GB2312" w:hAnsi="仿宋_GB2312" w:eastAsia="仿宋_GB2312" w:cs="仿宋_GB2312"/>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3ACAD92C">
            <w:pPr>
              <w:tabs>
                <w:tab w:val="left" w:pos="5427"/>
              </w:tabs>
              <w:spacing w:line="440" w:lineRule="exact"/>
              <w:jc w:val="center"/>
              <w:rPr>
                <w:rFonts w:hint="eastAsia" w:ascii="仿宋_GB2312" w:hAnsi="仿宋_GB2312" w:eastAsia="仿宋_GB2312" w:cs="仿宋_GB2312"/>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2A87312">
            <w:pPr>
              <w:tabs>
                <w:tab w:val="left" w:pos="5427"/>
              </w:tabs>
              <w:spacing w:line="440" w:lineRule="exact"/>
              <w:jc w:val="center"/>
              <w:rPr>
                <w:rFonts w:hint="eastAsia" w:ascii="仿宋_GB2312" w:hAnsi="仿宋_GB2312" w:eastAsia="仿宋_GB2312" w:cs="仿宋_GB2312"/>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DCFA873">
            <w:pPr>
              <w:tabs>
                <w:tab w:val="left" w:pos="5427"/>
              </w:tabs>
              <w:spacing w:line="440" w:lineRule="exact"/>
              <w:jc w:val="center"/>
              <w:rPr>
                <w:rFonts w:hint="eastAsia" w:ascii="仿宋_GB2312" w:hAnsi="仿宋_GB2312" w:eastAsia="仿宋_GB2312" w:cs="仿宋_GB2312"/>
                <w:sz w:val="24"/>
                <w:szCs w:val="24"/>
                <w:highlight w:val="none"/>
              </w:rPr>
            </w:pPr>
          </w:p>
        </w:tc>
      </w:tr>
      <w:tr w14:paraId="6BB8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4DFA52D3">
            <w:pPr>
              <w:tabs>
                <w:tab w:val="left" w:pos="5427"/>
              </w:tabs>
              <w:spacing w:line="4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0FA0BE3">
            <w:pPr>
              <w:tabs>
                <w:tab w:val="left" w:pos="5427"/>
              </w:tabs>
              <w:spacing w:line="440" w:lineRule="exact"/>
              <w:jc w:val="center"/>
              <w:rPr>
                <w:rFonts w:hint="eastAsia" w:ascii="仿宋_GB2312" w:hAnsi="仿宋_GB2312" w:eastAsia="仿宋_GB2312" w:cs="仿宋_GB2312"/>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526519DC">
            <w:pPr>
              <w:tabs>
                <w:tab w:val="left" w:pos="5427"/>
              </w:tabs>
              <w:spacing w:line="440" w:lineRule="exact"/>
              <w:jc w:val="center"/>
              <w:rPr>
                <w:rFonts w:hint="eastAsia" w:ascii="仿宋_GB2312" w:hAnsi="仿宋_GB2312" w:eastAsia="仿宋_GB2312" w:cs="仿宋_GB2312"/>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5E4B78A7">
            <w:pPr>
              <w:tabs>
                <w:tab w:val="left" w:pos="5427"/>
              </w:tabs>
              <w:spacing w:line="440" w:lineRule="exact"/>
              <w:jc w:val="center"/>
              <w:rPr>
                <w:rFonts w:hint="eastAsia" w:ascii="仿宋_GB2312" w:hAnsi="仿宋_GB2312" w:eastAsia="仿宋_GB2312" w:cs="仿宋_GB2312"/>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32F9C6E6">
            <w:pPr>
              <w:tabs>
                <w:tab w:val="left" w:pos="5427"/>
              </w:tabs>
              <w:spacing w:line="440" w:lineRule="exact"/>
              <w:jc w:val="center"/>
              <w:rPr>
                <w:rFonts w:hint="eastAsia" w:ascii="仿宋_GB2312" w:hAnsi="仿宋_GB2312" w:eastAsia="仿宋_GB2312" w:cs="仿宋_GB2312"/>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0A8F0034">
            <w:pPr>
              <w:tabs>
                <w:tab w:val="left" w:pos="5427"/>
              </w:tabs>
              <w:spacing w:line="440" w:lineRule="exact"/>
              <w:jc w:val="center"/>
              <w:rPr>
                <w:rFonts w:hint="eastAsia" w:ascii="仿宋_GB2312" w:hAnsi="仿宋_GB2312" w:eastAsia="仿宋_GB2312" w:cs="仿宋_GB2312"/>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90FA33A">
            <w:pPr>
              <w:tabs>
                <w:tab w:val="left" w:pos="5427"/>
              </w:tabs>
              <w:spacing w:line="440" w:lineRule="exact"/>
              <w:jc w:val="center"/>
              <w:rPr>
                <w:rFonts w:hint="eastAsia" w:ascii="仿宋_GB2312" w:hAnsi="仿宋_GB2312" w:eastAsia="仿宋_GB2312" w:cs="仿宋_GB2312"/>
                <w:sz w:val="24"/>
                <w:szCs w:val="24"/>
                <w:highlight w:val="none"/>
              </w:rPr>
            </w:pPr>
          </w:p>
        </w:tc>
      </w:tr>
      <w:tr w14:paraId="7A050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CB2501C">
            <w:pPr>
              <w:tabs>
                <w:tab w:val="left" w:pos="5427"/>
              </w:tabs>
              <w:spacing w:line="4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74059AC">
            <w:pPr>
              <w:tabs>
                <w:tab w:val="left" w:pos="5427"/>
              </w:tabs>
              <w:spacing w:line="440" w:lineRule="exact"/>
              <w:jc w:val="center"/>
              <w:rPr>
                <w:rFonts w:hint="eastAsia" w:ascii="仿宋_GB2312" w:hAnsi="仿宋_GB2312" w:eastAsia="仿宋_GB2312" w:cs="仿宋_GB2312"/>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7B8B5F8B">
            <w:pPr>
              <w:tabs>
                <w:tab w:val="left" w:pos="5427"/>
              </w:tabs>
              <w:spacing w:line="440" w:lineRule="exact"/>
              <w:jc w:val="center"/>
              <w:rPr>
                <w:rFonts w:hint="eastAsia" w:ascii="仿宋_GB2312" w:hAnsi="仿宋_GB2312" w:eastAsia="仿宋_GB2312" w:cs="仿宋_GB2312"/>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16123EA4">
            <w:pPr>
              <w:tabs>
                <w:tab w:val="left" w:pos="5427"/>
              </w:tabs>
              <w:spacing w:line="440" w:lineRule="exact"/>
              <w:jc w:val="center"/>
              <w:rPr>
                <w:rFonts w:hint="eastAsia" w:ascii="仿宋_GB2312" w:hAnsi="仿宋_GB2312" w:eastAsia="仿宋_GB2312" w:cs="仿宋_GB2312"/>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503E5F47">
            <w:pPr>
              <w:tabs>
                <w:tab w:val="left" w:pos="5427"/>
              </w:tabs>
              <w:spacing w:line="440" w:lineRule="exact"/>
              <w:jc w:val="center"/>
              <w:rPr>
                <w:rFonts w:hint="eastAsia" w:ascii="仿宋_GB2312" w:hAnsi="仿宋_GB2312" w:eastAsia="仿宋_GB2312" w:cs="仿宋_GB2312"/>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22453B3F">
            <w:pPr>
              <w:tabs>
                <w:tab w:val="left" w:pos="5427"/>
              </w:tabs>
              <w:spacing w:line="440" w:lineRule="exact"/>
              <w:jc w:val="center"/>
              <w:rPr>
                <w:rFonts w:hint="eastAsia" w:ascii="仿宋_GB2312" w:hAnsi="仿宋_GB2312" w:eastAsia="仿宋_GB2312" w:cs="仿宋_GB2312"/>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E1AC9D5">
            <w:pPr>
              <w:tabs>
                <w:tab w:val="left" w:pos="5427"/>
              </w:tabs>
              <w:spacing w:line="440" w:lineRule="exact"/>
              <w:jc w:val="center"/>
              <w:rPr>
                <w:rFonts w:hint="eastAsia" w:ascii="仿宋_GB2312" w:hAnsi="仿宋_GB2312" w:eastAsia="仿宋_GB2312" w:cs="仿宋_GB2312"/>
                <w:sz w:val="24"/>
                <w:szCs w:val="24"/>
                <w:highlight w:val="none"/>
              </w:rPr>
            </w:pPr>
          </w:p>
        </w:tc>
      </w:tr>
      <w:tr w14:paraId="328D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24A9A8DD">
            <w:pPr>
              <w:tabs>
                <w:tab w:val="left" w:pos="5427"/>
              </w:tabs>
              <w:spacing w:line="4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B95BD0F">
            <w:pPr>
              <w:tabs>
                <w:tab w:val="left" w:pos="5427"/>
              </w:tabs>
              <w:spacing w:line="440" w:lineRule="exact"/>
              <w:jc w:val="center"/>
              <w:rPr>
                <w:rFonts w:hint="eastAsia" w:ascii="仿宋_GB2312" w:hAnsi="仿宋_GB2312" w:eastAsia="仿宋_GB2312" w:cs="仿宋_GB2312"/>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B77A276">
            <w:pPr>
              <w:tabs>
                <w:tab w:val="left" w:pos="5427"/>
              </w:tabs>
              <w:spacing w:line="440" w:lineRule="exact"/>
              <w:jc w:val="center"/>
              <w:rPr>
                <w:rFonts w:hint="eastAsia" w:ascii="仿宋_GB2312" w:hAnsi="仿宋_GB2312" w:eastAsia="仿宋_GB2312" w:cs="仿宋_GB2312"/>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2CC1F787">
            <w:pPr>
              <w:tabs>
                <w:tab w:val="left" w:pos="5427"/>
              </w:tabs>
              <w:spacing w:line="440" w:lineRule="exact"/>
              <w:jc w:val="center"/>
              <w:rPr>
                <w:rFonts w:hint="eastAsia" w:ascii="仿宋_GB2312" w:hAnsi="仿宋_GB2312" w:eastAsia="仿宋_GB2312" w:cs="仿宋_GB2312"/>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5D64FBDE">
            <w:pPr>
              <w:tabs>
                <w:tab w:val="left" w:pos="5427"/>
              </w:tabs>
              <w:spacing w:line="440" w:lineRule="exact"/>
              <w:jc w:val="center"/>
              <w:rPr>
                <w:rFonts w:hint="eastAsia" w:ascii="仿宋_GB2312" w:hAnsi="仿宋_GB2312" w:eastAsia="仿宋_GB2312" w:cs="仿宋_GB2312"/>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165AA11">
            <w:pPr>
              <w:tabs>
                <w:tab w:val="left" w:pos="5427"/>
              </w:tabs>
              <w:spacing w:line="440" w:lineRule="exact"/>
              <w:jc w:val="center"/>
              <w:rPr>
                <w:rFonts w:hint="eastAsia" w:ascii="仿宋_GB2312" w:hAnsi="仿宋_GB2312" w:eastAsia="仿宋_GB2312" w:cs="仿宋_GB2312"/>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53BCA47">
            <w:pPr>
              <w:tabs>
                <w:tab w:val="left" w:pos="5427"/>
              </w:tabs>
              <w:spacing w:line="440" w:lineRule="exact"/>
              <w:jc w:val="center"/>
              <w:rPr>
                <w:rFonts w:hint="eastAsia" w:ascii="仿宋_GB2312" w:hAnsi="仿宋_GB2312" w:eastAsia="仿宋_GB2312" w:cs="仿宋_GB2312"/>
                <w:sz w:val="24"/>
                <w:szCs w:val="24"/>
                <w:highlight w:val="none"/>
              </w:rPr>
            </w:pPr>
          </w:p>
        </w:tc>
      </w:tr>
      <w:tr w14:paraId="3257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6C48646A">
            <w:pPr>
              <w:tabs>
                <w:tab w:val="left" w:pos="5427"/>
              </w:tabs>
              <w:spacing w:line="4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3F89EADC">
            <w:pPr>
              <w:tabs>
                <w:tab w:val="left" w:pos="5427"/>
              </w:tabs>
              <w:spacing w:line="440" w:lineRule="exact"/>
              <w:jc w:val="center"/>
              <w:rPr>
                <w:rFonts w:hint="eastAsia" w:ascii="仿宋_GB2312" w:hAnsi="仿宋_GB2312" w:eastAsia="仿宋_GB2312" w:cs="仿宋_GB2312"/>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69FB5851">
            <w:pPr>
              <w:tabs>
                <w:tab w:val="left" w:pos="5427"/>
              </w:tabs>
              <w:spacing w:line="440" w:lineRule="exact"/>
              <w:jc w:val="center"/>
              <w:rPr>
                <w:rFonts w:hint="eastAsia" w:ascii="仿宋_GB2312" w:hAnsi="仿宋_GB2312" w:eastAsia="仿宋_GB2312" w:cs="仿宋_GB2312"/>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2583ADF7">
            <w:pPr>
              <w:tabs>
                <w:tab w:val="left" w:pos="5427"/>
              </w:tabs>
              <w:spacing w:line="440" w:lineRule="exact"/>
              <w:jc w:val="center"/>
              <w:rPr>
                <w:rFonts w:hint="eastAsia" w:ascii="仿宋_GB2312" w:hAnsi="仿宋_GB2312" w:eastAsia="仿宋_GB2312" w:cs="仿宋_GB2312"/>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1FBD0819">
            <w:pPr>
              <w:tabs>
                <w:tab w:val="left" w:pos="5427"/>
              </w:tabs>
              <w:spacing w:line="440" w:lineRule="exact"/>
              <w:jc w:val="center"/>
              <w:rPr>
                <w:rFonts w:hint="eastAsia" w:ascii="仿宋_GB2312" w:hAnsi="仿宋_GB2312" w:eastAsia="仿宋_GB2312" w:cs="仿宋_GB2312"/>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E7A155C">
            <w:pPr>
              <w:tabs>
                <w:tab w:val="left" w:pos="5427"/>
              </w:tabs>
              <w:spacing w:line="440" w:lineRule="exact"/>
              <w:jc w:val="center"/>
              <w:rPr>
                <w:rFonts w:hint="eastAsia" w:ascii="仿宋_GB2312" w:hAnsi="仿宋_GB2312" w:eastAsia="仿宋_GB2312" w:cs="仿宋_GB2312"/>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6F4FB28B">
            <w:pPr>
              <w:tabs>
                <w:tab w:val="left" w:pos="5427"/>
              </w:tabs>
              <w:spacing w:line="440" w:lineRule="exact"/>
              <w:jc w:val="center"/>
              <w:rPr>
                <w:rFonts w:hint="eastAsia" w:ascii="仿宋_GB2312" w:hAnsi="仿宋_GB2312" w:eastAsia="仿宋_GB2312" w:cs="仿宋_GB2312"/>
                <w:sz w:val="24"/>
                <w:szCs w:val="24"/>
                <w:highlight w:val="none"/>
              </w:rPr>
            </w:pPr>
          </w:p>
        </w:tc>
      </w:tr>
      <w:tr w14:paraId="18CC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7BCB2692">
            <w:pPr>
              <w:tabs>
                <w:tab w:val="left" w:pos="5427"/>
              </w:tabs>
              <w:spacing w:line="4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40880620">
            <w:pPr>
              <w:tabs>
                <w:tab w:val="left" w:pos="5427"/>
              </w:tabs>
              <w:spacing w:line="440" w:lineRule="exact"/>
              <w:jc w:val="center"/>
              <w:rPr>
                <w:rFonts w:hint="eastAsia" w:ascii="仿宋_GB2312" w:hAnsi="仿宋_GB2312" w:eastAsia="仿宋_GB2312" w:cs="仿宋_GB2312"/>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1E54A458">
            <w:pPr>
              <w:tabs>
                <w:tab w:val="left" w:pos="5427"/>
              </w:tabs>
              <w:spacing w:line="440" w:lineRule="exact"/>
              <w:jc w:val="center"/>
              <w:rPr>
                <w:rFonts w:hint="eastAsia" w:ascii="仿宋_GB2312" w:hAnsi="仿宋_GB2312" w:eastAsia="仿宋_GB2312" w:cs="仿宋_GB2312"/>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6D5F21CE">
            <w:pPr>
              <w:tabs>
                <w:tab w:val="left" w:pos="5427"/>
              </w:tabs>
              <w:spacing w:line="440" w:lineRule="exact"/>
              <w:jc w:val="center"/>
              <w:rPr>
                <w:rFonts w:hint="eastAsia" w:ascii="仿宋_GB2312" w:hAnsi="仿宋_GB2312" w:eastAsia="仿宋_GB2312" w:cs="仿宋_GB2312"/>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7039C44E">
            <w:pPr>
              <w:tabs>
                <w:tab w:val="left" w:pos="5427"/>
              </w:tabs>
              <w:spacing w:line="440" w:lineRule="exact"/>
              <w:jc w:val="center"/>
              <w:rPr>
                <w:rFonts w:hint="eastAsia" w:ascii="仿宋_GB2312" w:hAnsi="仿宋_GB2312" w:eastAsia="仿宋_GB2312" w:cs="仿宋_GB2312"/>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3D2150CF">
            <w:pPr>
              <w:tabs>
                <w:tab w:val="left" w:pos="5427"/>
              </w:tabs>
              <w:spacing w:line="440" w:lineRule="exact"/>
              <w:jc w:val="center"/>
              <w:rPr>
                <w:rFonts w:hint="eastAsia" w:ascii="仿宋_GB2312" w:hAnsi="仿宋_GB2312" w:eastAsia="仿宋_GB2312" w:cs="仿宋_GB2312"/>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58AB70B">
            <w:pPr>
              <w:tabs>
                <w:tab w:val="left" w:pos="5427"/>
              </w:tabs>
              <w:spacing w:line="440" w:lineRule="exact"/>
              <w:jc w:val="center"/>
              <w:rPr>
                <w:rFonts w:hint="eastAsia" w:ascii="仿宋_GB2312" w:hAnsi="仿宋_GB2312" w:eastAsia="仿宋_GB2312" w:cs="仿宋_GB2312"/>
                <w:sz w:val="24"/>
                <w:szCs w:val="24"/>
                <w:highlight w:val="none"/>
              </w:rPr>
            </w:pPr>
          </w:p>
        </w:tc>
      </w:tr>
      <w:tr w14:paraId="3568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6BBD95B7">
            <w:pPr>
              <w:tabs>
                <w:tab w:val="left" w:pos="5427"/>
              </w:tabs>
              <w:spacing w:line="440" w:lineRule="exact"/>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1E34C3B">
            <w:pPr>
              <w:tabs>
                <w:tab w:val="left" w:pos="5427"/>
              </w:tabs>
              <w:spacing w:line="440" w:lineRule="exact"/>
              <w:jc w:val="center"/>
              <w:rPr>
                <w:rFonts w:hint="eastAsia" w:ascii="仿宋_GB2312" w:hAnsi="仿宋_GB2312" w:eastAsia="仿宋_GB2312" w:cs="仿宋_GB2312"/>
                <w:sz w:val="24"/>
                <w:szCs w:val="24"/>
                <w:highlight w:val="none"/>
              </w:rPr>
            </w:pPr>
          </w:p>
        </w:tc>
        <w:tc>
          <w:tcPr>
            <w:tcW w:w="780" w:type="dxa"/>
            <w:tcBorders>
              <w:top w:val="single" w:color="auto" w:sz="4" w:space="0"/>
              <w:left w:val="single" w:color="auto" w:sz="4" w:space="0"/>
              <w:bottom w:val="single" w:color="auto" w:sz="4" w:space="0"/>
              <w:right w:val="single" w:color="auto" w:sz="4" w:space="0"/>
            </w:tcBorders>
            <w:noWrap w:val="0"/>
            <w:vAlign w:val="center"/>
          </w:tcPr>
          <w:p w14:paraId="4A716CFF">
            <w:pPr>
              <w:tabs>
                <w:tab w:val="left" w:pos="5427"/>
              </w:tabs>
              <w:spacing w:line="440" w:lineRule="exact"/>
              <w:jc w:val="center"/>
              <w:rPr>
                <w:rFonts w:hint="eastAsia" w:ascii="仿宋_GB2312" w:hAnsi="仿宋_GB2312" w:eastAsia="仿宋_GB2312" w:cs="仿宋_GB2312"/>
                <w:sz w:val="24"/>
                <w:szCs w:val="24"/>
                <w:highlight w:val="none"/>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6369FE77">
            <w:pPr>
              <w:tabs>
                <w:tab w:val="left" w:pos="5427"/>
              </w:tabs>
              <w:spacing w:line="440" w:lineRule="exact"/>
              <w:jc w:val="center"/>
              <w:rPr>
                <w:rFonts w:hint="eastAsia" w:ascii="仿宋_GB2312" w:hAnsi="仿宋_GB2312" w:eastAsia="仿宋_GB2312" w:cs="仿宋_GB2312"/>
                <w:sz w:val="24"/>
                <w:szCs w:val="24"/>
                <w:highlight w:val="none"/>
              </w:rPr>
            </w:pPr>
          </w:p>
        </w:tc>
        <w:tc>
          <w:tcPr>
            <w:tcW w:w="1629" w:type="dxa"/>
            <w:tcBorders>
              <w:top w:val="single" w:color="auto" w:sz="4" w:space="0"/>
              <w:left w:val="single" w:color="auto" w:sz="4" w:space="0"/>
              <w:bottom w:val="single" w:color="auto" w:sz="4" w:space="0"/>
              <w:right w:val="single" w:color="auto" w:sz="4" w:space="0"/>
            </w:tcBorders>
            <w:noWrap w:val="0"/>
            <w:vAlign w:val="center"/>
          </w:tcPr>
          <w:p w14:paraId="65D9E637">
            <w:pPr>
              <w:tabs>
                <w:tab w:val="left" w:pos="5427"/>
              </w:tabs>
              <w:spacing w:line="440" w:lineRule="exact"/>
              <w:jc w:val="center"/>
              <w:rPr>
                <w:rFonts w:hint="eastAsia" w:ascii="仿宋_GB2312" w:hAnsi="仿宋_GB2312" w:eastAsia="仿宋_GB2312" w:cs="仿宋_GB2312"/>
                <w:sz w:val="24"/>
                <w:szCs w:val="24"/>
                <w:highlight w:val="none"/>
              </w:rPr>
            </w:pPr>
          </w:p>
        </w:tc>
        <w:tc>
          <w:tcPr>
            <w:tcW w:w="1807" w:type="dxa"/>
            <w:tcBorders>
              <w:top w:val="single" w:color="auto" w:sz="4" w:space="0"/>
              <w:left w:val="single" w:color="auto" w:sz="4" w:space="0"/>
              <w:bottom w:val="single" w:color="auto" w:sz="4" w:space="0"/>
              <w:right w:val="single" w:color="auto" w:sz="4" w:space="0"/>
            </w:tcBorders>
            <w:noWrap w:val="0"/>
            <w:vAlign w:val="center"/>
          </w:tcPr>
          <w:p w14:paraId="47ECE43B">
            <w:pPr>
              <w:tabs>
                <w:tab w:val="left" w:pos="5427"/>
              </w:tabs>
              <w:spacing w:line="440" w:lineRule="exact"/>
              <w:jc w:val="center"/>
              <w:rPr>
                <w:rFonts w:hint="eastAsia" w:ascii="仿宋_GB2312" w:hAnsi="仿宋_GB2312" w:eastAsia="仿宋_GB2312" w:cs="仿宋_GB2312"/>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20634017">
            <w:pPr>
              <w:tabs>
                <w:tab w:val="left" w:pos="5427"/>
              </w:tabs>
              <w:spacing w:line="440" w:lineRule="exact"/>
              <w:jc w:val="center"/>
              <w:rPr>
                <w:rFonts w:hint="eastAsia" w:ascii="仿宋_GB2312" w:hAnsi="仿宋_GB2312" w:eastAsia="仿宋_GB2312" w:cs="仿宋_GB2312"/>
                <w:sz w:val="24"/>
                <w:szCs w:val="24"/>
                <w:highlight w:val="none"/>
              </w:rPr>
            </w:pPr>
          </w:p>
        </w:tc>
      </w:tr>
    </w:tbl>
    <w:p w14:paraId="22AFCFC9">
      <w:pPr>
        <w:pStyle w:val="4"/>
        <w:jc w:val="center"/>
        <w:rPr>
          <w:rFonts w:hint="eastAsia"/>
          <w:lang w:eastAsia="zh-CN"/>
        </w:rPr>
      </w:pPr>
    </w:p>
    <w:p w14:paraId="49035A4C">
      <w:pPr>
        <w:pStyle w:val="4"/>
        <w:jc w:val="center"/>
        <w:rPr>
          <w:rFonts w:hint="eastAsia" w:ascii="仿宋_GB2312" w:hAnsi="仿宋_GB2312" w:eastAsia="仿宋_GB2312" w:cs="仿宋_GB2312"/>
          <w:b/>
          <w:bCs/>
          <w:color w:val="auto"/>
          <w:kern w:val="2"/>
          <w:sz w:val="24"/>
          <w:szCs w:val="24"/>
          <w:highlight w:val="none"/>
          <w:lang w:val="en-US" w:eastAsia="zh-CN" w:bidi="ar-SA"/>
        </w:rPr>
      </w:pPr>
    </w:p>
    <w:p w14:paraId="3B763359">
      <w:pPr>
        <w:pStyle w:val="4"/>
        <w:jc w:val="center"/>
        <w:rPr>
          <w:rFonts w:hint="eastAsia" w:ascii="仿宋_GB2312" w:hAnsi="仿宋_GB2312" w:eastAsia="仿宋_GB2312" w:cs="仿宋_GB2312"/>
          <w:b/>
          <w:bCs/>
          <w:color w:val="auto"/>
          <w:kern w:val="2"/>
          <w:sz w:val="24"/>
          <w:szCs w:val="24"/>
          <w:highlight w:val="none"/>
          <w:lang w:val="en-US" w:eastAsia="zh-CN" w:bidi="ar-SA"/>
        </w:rPr>
      </w:pPr>
    </w:p>
    <w:p w14:paraId="311A8498">
      <w:pPr>
        <w:pStyle w:val="4"/>
        <w:jc w:val="center"/>
        <w:rPr>
          <w:rFonts w:hint="eastAsia" w:ascii="仿宋_GB2312" w:hAnsi="仿宋_GB2312" w:eastAsia="仿宋_GB2312" w:cs="仿宋_GB2312"/>
          <w:b/>
          <w:bCs/>
          <w:color w:val="auto"/>
          <w:kern w:val="2"/>
          <w:sz w:val="24"/>
          <w:szCs w:val="24"/>
          <w:highlight w:val="none"/>
          <w:lang w:val="en-US" w:eastAsia="zh-CN" w:bidi="ar-SA"/>
        </w:rPr>
      </w:pPr>
    </w:p>
    <w:p w14:paraId="0529C4C5">
      <w:pPr>
        <w:pStyle w:val="4"/>
        <w:jc w:val="center"/>
        <w:rPr>
          <w:rFonts w:hint="eastAsia" w:ascii="仿宋_GB2312" w:hAnsi="仿宋_GB2312" w:eastAsia="仿宋_GB2312" w:cs="仿宋_GB2312"/>
          <w:b/>
          <w:bCs/>
          <w:color w:val="auto"/>
          <w:kern w:val="2"/>
          <w:sz w:val="24"/>
          <w:szCs w:val="24"/>
          <w:highlight w:val="none"/>
          <w:lang w:val="en-US" w:eastAsia="zh-CN" w:bidi="ar-SA"/>
        </w:rPr>
      </w:pPr>
    </w:p>
    <w:p w14:paraId="3DAC25C9">
      <w:pPr>
        <w:pStyle w:val="4"/>
        <w:jc w:val="center"/>
        <w:rPr>
          <w:rFonts w:hint="eastAsia" w:ascii="仿宋_GB2312" w:hAnsi="仿宋_GB2312" w:eastAsia="仿宋_GB2312" w:cs="仿宋_GB2312"/>
          <w:b/>
          <w:bCs/>
          <w:color w:val="auto"/>
          <w:kern w:val="2"/>
          <w:sz w:val="24"/>
          <w:szCs w:val="24"/>
          <w:highlight w:val="none"/>
          <w:lang w:val="en-US" w:eastAsia="zh-CN" w:bidi="ar-SA"/>
        </w:rPr>
      </w:pPr>
    </w:p>
    <w:p w14:paraId="01C01143">
      <w:pPr>
        <w:pStyle w:val="10"/>
        <w:rPr>
          <w:rFonts w:hint="eastAsia" w:ascii="仿宋_GB2312" w:hAnsi="仿宋_GB2312" w:eastAsia="仿宋_GB2312" w:cs="仿宋_GB2312"/>
          <w:sz w:val="24"/>
        </w:rPr>
      </w:pPr>
    </w:p>
    <w:p w14:paraId="29FC7307">
      <w:pPr>
        <w:pStyle w:val="4"/>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FEC36"/>
    <w:multiLevelType w:val="singleLevel"/>
    <w:tmpl w:val="A59FEC36"/>
    <w:lvl w:ilvl="0" w:tentative="0">
      <w:start w:val="2"/>
      <w:numFmt w:val="chineseCounting"/>
      <w:suff w:val="space"/>
      <w:lvlText w:val="第%1章"/>
      <w:lvlJc w:val="left"/>
      <w:rPr>
        <w:rFonts w:hint="eastAsia"/>
      </w:rPr>
    </w:lvl>
  </w:abstractNum>
  <w:abstractNum w:abstractNumId="1">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艺源">
    <w15:presenceInfo w15:providerId="WebOffice Third" w15:userId="AKXUNJIANJICHENG:wangy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710FF"/>
    <w:rsid w:val="03CB5353"/>
    <w:rsid w:val="115D0AEC"/>
    <w:rsid w:val="1BBF6554"/>
    <w:rsid w:val="2CA76690"/>
    <w:rsid w:val="2F2D4E86"/>
    <w:rsid w:val="37EE2061"/>
    <w:rsid w:val="3B675544"/>
    <w:rsid w:val="3E7F1C3B"/>
    <w:rsid w:val="3F7DF2BA"/>
    <w:rsid w:val="4AEF6BF2"/>
    <w:rsid w:val="4D7771D5"/>
    <w:rsid w:val="570E383E"/>
    <w:rsid w:val="5ADFD6F0"/>
    <w:rsid w:val="5B9BE885"/>
    <w:rsid w:val="5BF71F44"/>
    <w:rsid w:val="63531230"/>
    <w:rsid w:val="64207C42"/>
    <w:rsid w:val="66DA1FCE"/>
    <w:rsid w:val="6CF691E3"/>
    <w:rsid w:val="7397F4CC"/>
    <w:rsid w:val="75AFE66C"/>
    <w:rsid w:val="75DB7E1E"/>
    <w:rsid w:val="782710FF"/>
    <w:rsid w:val="79FE8566"/>
    <w:rsid w:val="7BFB41AC"/>
    <w:rsid w:val="7BFF3086"/>
    <w:rsid w:val="7D1D5A86"/>
    <w:rsid w:val="7FB09A17"/>
    <w:rsid w:val="7FBF0D42"/>
    <w:rsid w:val="7FFBE38C"/>
    <w:rsid w:val="93F2825F"/>
    <w:rsid w:val="95BED7D3"/>
    <w:rsid w:val="9FE32D78"/>
    <w:rsid w:val="BACFE160"/>
    <w:rsid w:val="BDBE5DC0"/>
    <w:rsid w:val="BF39E4F5"/>
    <w:rsid w:val="BF7F8C3D"/>
    <w:rsid w:val="CE7DEE7F"/>
    <w:rsid w:val="CFAF5474"/>
    <w:rsid w:val="CFDFEEDE"/>
    <w:rsid w:val="D7FEDD0D"/>
    <w:rsid w:val="DAFF6D54"/>
    <w:rsid w:val="DBF16488"/>
    <w:rsid w:val="DEEF63F4"/>
    <w:rsid w:val="DF5E2D63"/>
    <w:rsid w:val="DFF7D0EB"/>
    <w:rsid w:val="E1BAFCF5"/>
    <w:rsid w:val="E6FD1087"/>
    <w:rsid w:val="EB9FA05E"/>
    <w:rsid w:val="ECFB5710"/>
    <w:rsid w:val="EE2F9A98"/>
    <w:rsid w:val="EEDF2D51"/>
    <w:rsid w:val="EFB93C80"/>
    <w:rsid w:val="F5DA1EA3"/>
    <w:rsid w:val="F5FDB92C"/>
    <w:rsid w:val="F8FFE820"/>
    <w:rsid w:val="FD4314D6"/>
    <w:rsid w:val="FDBBBC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textAlignment w:val="baseline"/>
    </w:pPr>
    <w:rPr>
      <w:kern w:val="0"/>
      <w:sz w:val="24"/>
      <w:szCs w:val="20"/>
    </w:rPr>
  </w:style>
  <w:style w:type="paragraph" w:styleId="4">
    <w:name w:val="Body Text"/>
    <w:basedOn w:val="1"/>
    <w:next w:val="1"/>
    <w:qFormat/>
    <w:uiPriority w:val="0"/>
    <w:pPr>
      <w:spacing w:after="120"/>
    </w:pPr>
  </w:style>
  <w:style w:type="paragraph" w:styleId="5">
    <w:name w:val="Plain Text"/>
    <w:basedOn w:val="1"/>
    <w:qFormat/>
    <w:uiPriority w:val="0"/>
    <w:rPr>
      <w:rFonts w:ascii="Courier New" w:hAnsi="Courier New"/>
      <w:szCs w:val="20"/>
    </w:rPr>
  </w:style>
  <w:style w:type="paragraph" w:styleId="6">
    <w:name w:val="Date"/>
    <w:basedOn w:val="1"/>
    <w:next w:val="1"/>
    <w:qFormat/>
    <w:uiPriority w:val="0"/>
    <w:pPr>
      <w:ind w:left="100" w:leftChars="25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2"/>
    <w:basedOn w:val="1"/>
    <w:qFormat/>
    <w:uiPriority w:val="0"/>
    <w:pPr>
      <w:jc w:val="left"/>
    </w:pPr>
    <w:rPr>
      <w:bCs/>
      <w:spacing w:val="10"/>
      <w:kern w:val="0"/>
    </w:rPr>
  </w:style>
  <w:style w:type="paragraph" w:customStyle="1" w:styleId="11">
    <w:name w:val="附录二级无"/>
    <w:qFormat/>
    <w:uiPriority w:val="0"/>
    <w:pPr>
      <w:widowControl/>
      <w:numPr>
        <w:ilvl w:val="3"/>
        <w:numId w:val="1"/>
      </w:numPr>
      <w:wordWrap w:val="0"/>
      <w:overflowPunct w:val="0"/>
      <w:autoSpaceDE w:val="0"/>
      <w:autoSpaceDN w:val="0"/>
      <w:ind w:left="0"/>
      <w:jc w:val="both"/>
      <w:textAlignment w:val="baseline"/>
      <w:outlineLvl w:val="3"/>
    </w:pPr>
    <w:rPr>
      <w:rFonts w:ascii="宋体" w:hAnsi="Times New Roman" w:eastAsia="宋体" w:cs="Times New Roman"/>
      <w:kern w:val="21"/>
      <w:sz w:val="21"/>
      <w:szCs w:val="21"/>
      <w:lang w:val="en-US" w:eastAsia="zh-CN" w:bidi="ar-SA"/>
    </w:rPr>
  </w:style>
  <w:style w:type="paragraph" w:customStyle="1" w:styleId="12">
    <w:name w:val="Body text|1"/>
    <w:basedOn w:val="1"/>
    <w:qFormat/>
    <w:uiPriority w:val="0"/>
    <w:pPr>
      <w:widowControl w:val="0"/>
      <w:shd w:val="clear" w:color="auto" w:fill="auto"/>
      <w:spacing w:line="391" w:lineRule="auto"/>
      <w:ind w:firstLine="400"/>
    </w:pPr>
    <w:rPr>
      <w:rFonts w:ascii="宋体" w:hAnsi="宋体" w:eastAsia="宋体" w:cs="宋体"/>
      <w:sz w:val="28"/>
      <w:szCs w:val="28"/>
      <w:u w:val="none"/>
      <w:shd w:val="clear" w:color="auto" w:fill="auto"/>
      <w:lang w:val="zh-TW" w:eastAsia="zh-TW" w:bidi="zh-TW"/>
    </w:rPr>
  </w:style>
  <w:style w:type="paragraph" w:customStyle="1" w:styleId="13">
    <w:name w:val="样式1"/>
    <w:basedOn w:val="1"/>
    <w:qFormat/>
    <w:uiPriority w:val="0"/>
    <w:pPr>
      <w:adjustRightInd w:val="0"/>
      <w:spacing w:line="420" w:lineRule="auto"/>
      <w:jc w:val="center"/>
    </w:pPr>
    <w:rPr>
      <w:rFonts w:ascii="宋体"/>
      <w:kern w:val="0"/>
      <w:sz w:val="24"/>
      <w:szCs w:val="20"/>
    </w:rPr>
  </w:style>
  <w:style w:type="paragraph" w:customStyle="1" w:styleId="14">
    <w:name w:val="正文2"/>
    <w:basedOn w:val="1"/>
    <w:qFormat/>
    <w:uiPriority w:val="0"/>
    <w:pPr>
      <w:adjustRightInd w:val="0"/>
      <w:spacing w:after="60" w:line="360" w:lineRule="atLeast"/>
      <w:ind w:left="57" w:right="57"/>
      <w:jc w:val="center"/>
      <w:textAlignment w:val="baseline"/>
    </w:pPr>
    <w:rPr>
      <w:rFonts w:ascii="宋体" w:hAnsi="Times New Roman"/>
      <w:kern w:val="0"/>
      <w:szCs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0</Words>
  <Characters>0</Characters>
  <Lines>1</Lines>
  <Paragraphs>1</Paragraphs>
  <TotalTime>0</TotalTime>
  <ScaleCrop>false</ScaleCrop>
  <LinksUpToDate>false</LinksUpToDate>
  <CharactersWithSpaces>0</CharactersWithSpaces>
  <Application>WPS Office WWO_wpscloud_20250116195353-13c312bd48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2025-04-01T16:35:00Z</dcterms:created>
  <dc:creator>刘继行</dc:creator>
  <cp:lastModifiedBy>刘继行</cp:lastModifiedBy>
  <dcterms:modified xsi:type="dcterms:W3CDTF">2025-04-22T22:40:25Z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7286E746ACB8341859AA0768E56760D2_43</vt:lpwstr>
  </property>
</Properties>
</file>