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7FBB0">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5F636FF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7FE67ECB">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报价保证金为¥0.4万元（肆仟元整），到账截止时间为2025年8月22日10:00，报价保证金应在到账截止时间前存入四川泸州川南发电有限责任公司基本账户。</w:t>
      </w:r>
    </w:p>
    <w:p w14:paraId="683EA9A9">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BFAEA66">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54410583">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bookmarkStart w:id="0" w:name="_GoBack"/>
      <w:bookmarkEnd w:id="0"/>
    </w:p>
    <w:p w14:paraId="04F04E6F">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326EB0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7666BB67">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6613BB3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58A668E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1F2ED71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1AC2A44C">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84A6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51A4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2A841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金额100%的增值税专用发票后30日内，甲方向乙方支付至合同含税总金额的95%；</w:t>
      </w:r>
    </w:p>
    <w:p w14:paraId="1051C2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含税总金额的5％为质保金。质保期为2年（自本项目经甲方验收合格之日起算），质保期满并经甲方相关部门确认无质量问题、乙方向甲方提交付款申请单且出具相应金额收据后30日内，甲方向乙方支付质保金（无息）。</w:t>
      </w:r>
    </w:p>
    <w:p w14:paraId="6428B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1.4甲方向乙方支付相应价款时，有权扣除乙方被甲方考核的费用。</w:t>
      </w:r>
    </w:p>
    <w:p w14:paraId="271C7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本项目涉及设备费、材料费、施工费</w:t>
      </w:r>
      <w:r>
        <w:rPr>
          <w:rFonts w:hint="eastAsia" w:ascii="仿宋_GB2312" w:hAnsi="仿宋_GB2312" w:eastAsia="仿宋_GB2312" w:cs="仿宋_GB2312"/>
          <w:sz w:val="24"/>
          <w:szCs w:val="24"/>
          <w:lang w:eastAsia="zh"/>
        </w:rPr>
        <w:t>（含拆安）</w:t>
      </w:r>
      <w:r>
        <w:rPr>
          <w:rFonts w:hint="eastAsia" w:ascii="仿宋_GB2312" w:hAnsi="仿宋_GB2312" w:eastAsia="仿宋_GB2312" w:cs="仿宋_GB2312"/>
          <w:sz w:val="24"/>
          <w:szCs w:val="24"/>
          <w:lang w:eastAsia="zh-CN"/>
        </w:rPr>
        <w:t>、运输费、人工费、方案费、措施费、</w:t>
      </w:r>
      <w:r>
        <w:rPr>
          <w:rFonts w:hint="eastAsia" w:ascii="仿宋_GB2312" w:hAnsi="仿宋_GB2312" w:eastAsia="仿宋_GB2312" w:cs="仿宋_GB2312"/>
          <w:sz w:val="24"/>
          <w:szCs w:val="24"/>
          <w:lang w:eastAsia="zh"/>
        </w:rPr>
        <w:t>交通</w:t>
      </w:r>
      <w:r>
        <w:rPr>
          <w:rFonts w:hint="eastAsia" w:ascii="仿宋_GB2312" w:hAnsi="仿宋_GB2312" w:eastAsia="仿宋_GB2312" w:cs="仿宋_GB2312"/>
          <w:sz w:val="24"/>
          <w:szCs w:val="24"/>
          <w:lang w:eastAsia="zh-CN"/>
        </w:rPr>
        <w:t>费、管理费、食宿费、利润、保险费、安全生产费、职业病预防治费、风险费以及其他政策性文件规定的费用、进场费等完成本项目全部工作所需的全部费用均包含在“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14:paraId="52044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01782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D0C3E6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50D70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本项目需在合同签订后15日完成设备交货，现场施工工期为30日，具体施工时间以甲方提前通知为准，乙方须无条件满足甲方对工期的要求。</w:t>
      </w:r>
    </w:p>
    <w:p w14:paraId="5562D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
        </w:rPr>
        <w:t>供货要求、</w:t>
      </w:r>
      <w:r>
        <w:rPr>
          <w:rFonts w:hint="eastAsia" w:ascii="仿宋_GB2312" w:hAnsi="仿宋_GB2312" w:eastAsia="仿宋_GB2312" w:cs="仿宋_GB2312"/>
          <w:sz w:val="24"/>
          <w:szCs w:val="24"/>
          <w:lang w:val="en-US" w:eastAsia="zh-CN"/>
        </w:rPr>
        <w:t>工作范围及工作要求：</w:t>
      </w:r>
      <w:r>
        <w:rPr>
          <w:rFonts w:hint="eastAsia" w:ascii="仿宋_GB2312" w:hAnsi="仿宋_GB2312" w:eastAsia="仿宋_GB2312" w:cs="仿宋_GB2312"/>
          <w:sz w:val="24"/>
          <w:szCs w:val="24"/>
          <w:lang w:val="en-US" w:eastAsia="zh"/>
          <w:woUserID w:val="1"/>
        </w:rPr>
        <w:t>乙方向甲方提交的工作成果应满足《技术规范书》的要求，</w:t>
      </w:r>
      <w:r>
        <w:rPr>
          <w:rFonts w:hint="eastAsia" w:ascii="仿宋_GB2312" w:hAnsi="仿宋_GB2312" w:eastAsia="仿宋_GB2312" w:cs="仿宋_GB2312"/>
          <w:sz w:val="24"/>
          <w:szCs w:val="24"/>
          <w:lang w:val="en-US" w:eastAsia="zh-CN"/>
        </w:rPr>
        <w:t>详见《技术规范书》</w:t>
      </w:r>
      <w:r>
        <w:rPr>
          <w:rFonts w:hint="eastAsia" w:ascii="仿宋_GB2312" w:hAnsi="仿宋_GB2312" w:eastAsia="仿宋_GB2312" w:cs="仿宋_GB2312"/>
          <w:sz w:val="24"/>
          <w:szCs w:val="24"/>
          <w:lang w:val="en-US" w:eastAsia="zh"/>
        </w:rPr>
        <w:t>。</w:t>
      </w:r>
    </w:p>
    <w:p w14:paraId="74C57D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
        </w:rPr>
        <w:t>.质保责任。在质保期内，在质保期内出现非甲方人为原因导致设备故障及损坏，由乙方免费负责维修</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
        </w:rPr>
        <w:t>更换，乙方处理后仍不能满足质量要求的，由甲方委托第三方进行处理，所产生的费用由乙方承担。</w:t>
      </w:r>
    </w:p>
    <w:p w14:paraId="2A8CF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4.乙方负责项目所需设备、材料的供货，该等货物在经甲方验收合格前，由乙方承担货物毁损、灭失、盗窃等一切风险及货物运输风险，乙方应保证所供货物通过甲方验收并正常使用。</w:t>
      </w:r>
    </w:p>
    <w:p w14:paraId="1672E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6A5A87C1">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
          <w:woUserID w:val="1"/>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
          <w:woUserID w:val="1"/>
        </w:rPr>
        <w:t>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2E80FD0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7DB55513">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本项目不接受负偏差，但因国家法律法规或政策规定需调整的除外。</w:t>
      </w:r>
    </w:p>
    <w:p w14:paraId="60E2AE1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65361994">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60981059">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11.乙方未按照合同履行义务，给甲方造成损失的，乙方应承担损害赔偿责任。</w:t>
      </w:r>
    </w:p>
    <w:p w14:paraId="43C43CC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C890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32191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6B0FD0B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72C46A0D">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17C2D514">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360FBBF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18FC742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997006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06EE8B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0C6B9ED">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7A2553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BBA840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0F8926EB">
      <w:pPr>
        <w:pStyle w:val="10"/>
        <w:rPr>
          <w:rFonts w:hint="eastAsia" w:ascii="仿宋_GB2312" w:hAnsi="仿宋_GB2312" w:eastAsia="仿宋_GB2312" w:cs="仿宋_GB2312"/>
          <w:b/>
          <w:bCs/>
          <w:color w:val="auto"/>
          <w:sz w:val="24"/>
          <w:szCs w:val="24"/>
          <w:highlight w:val="none"/>
          <w:lang w:eastAsia="zh-CN"/>
        </w:rPr>
      </w:pPr>
    </w:p>
    <w:p w14:paraId="0A8E5265">
      <w:pPr>
        <w:pStyle w:val="10"/>
        <w:rPr>
          <w:rFonts w:hint="eastAsia" w:ascii="仿宋_GB2312" w:hAnsi="仿宋_GB2312" w:eastAsia="仿宋_GB2312" w:cs="仿宋_GB2312"/>
          <w:b/>
          <w:bCs/>
          <w:color w:val="auto"/>
          <w:sz w:val="24"/>
          <w:szCs w:val="24"/>
          <w:highlight w:val="none"/>
          <w:lang w:eastAsia="zh-CN"/>
        </w:rPr>
      </w:pPr>
    </w:p>
    <w:p w14:paraId="4488E7DB">
      <w:pPr>
        <w:pStyle w:val="10"/>
        <w:rPr>
          <w:rFonts w:hint="eastAsia" w:ascii="仿宋_GB2312" w:hAnsi="仿宋_GB2312" w:eastAsia="仿宋_GB2312" w:cs="仿宋_GB2312"/>
          <w:b/>
          <w:bCs/>
          <w:color w:val="auto"/>
          <w:sz w:val="24"/>
          <w:szCs w:val="24"/>
          <w:highlight w:val="none"/>
          <w:lang w:eastAsia="zh-CN"/>
        </w:rPr>
      </w:pPr>
    </w:p>
    <w:p w14:paraId="5B80430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95839AD">
      <w:pPr>
        <w:pStyle w:val="10"/>
        <w:rPr>
          <w:rFonts w:hint="eastAsia" w:ascii="仿宋_GB2312" w:hAnsi="仿宋_GB2312" w:eastAsia="仿宋_GB2312" w:cs="仿宋_GB2312"/>
          <w:b/>
          <w:bCs/>
          <w:color w:val="auto"/>
          <w:sz w:val="24"/>
          <w:szCs w:val="24"/>
          <w:highlight w:val="none"/>
          <w:lang w:eastAsia="zh-CN"/>
        </w:rPr>
      </w:pPr>
    </w:p>
    <w:p w14:paraId="357C7A8C">
      <w:pPr>
        <w:pStyle w:val="10"/>
        <w:rPr>
          <w:rFonts w:hint="eastAsia" w:ascii="仿宋_GB2312" w:hAnsi="仿宋_GB2312" w:eastAsia="仿宋_GB2312" w:cs="仿宋_GB2312"/>
          <w:b/>
          <w:bCs/>
          <w:color w:val="auto"/>
          <w:sz w:val="24"/>
          <w:szCs w:val="24"/>
          <w:highlight w:val="none"/>
          <w:lang w:eastAsia="zh-CN"/>
        </w:rPr>
      </w:pPr>
    </w:p>
    <w:p w14:paraId="3ABCB186">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08A8D8C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549DE30D">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0131C433">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5FB13E5B">
      <w:pPr>
        <w:spacing w:line="240" w:lineRule="auto"/>
        <w:ind w:firstLine="0" w:firstLineChars="0"/>
        <w:rPr>
          <w:rFonts w:hint="eastAsia" w:ascii="仿宋_GB2312" w:hAnsi="仿宋_GB2312" w:eastAsia="仿宋_GB2312" w:cs="仿宋_GB2312"/>
          <w:sz w:val="32"/>
          <w:szCs w:val="32"/>
          <w:lang w:val="en-US" w:eastAsia="zh-CN"/>
        </w:rPr>
      </w:pPr>
    </w:p>
    <w:p w14:paraId="36366021">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73579B7F">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14:paraId="632B3695">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563E9B91">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5732CF70">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31DCDFD8">
      <w:pPr>
        <w:pStyle w:val="11"/>
        <w:jc w:val="right"/>
        <w:rPr>
          <w:rFonts w:hint="eastAsia" w:ascii="仿宋_GB2312" w:hAnsi="仿宋_GB2312" w:eastAsia="仿宋_GB2312" w:cs="仿宋_GB2312"/>
          <w:color w:val="auto"/>
          <w:sz w:val="24"/>
          <w:szCs w:val="24"/>
          <w:highlight w:val="none"/>
          <w:lang w:val="en-US" w:eastAsia="zh-CN"/>
        </w:rPr>
      </w:pPr>
    </w:p>
    <w:p w14:paraId="1E43CF95">
      <w:pPr>
        <w:pStyle w:val="11"/>
        <w:jc w:val="right"/>
        <w:rPr>
          <w:rFonts w:hint="eastAsia" w:ascii="仿宋_GB2312" w:hAnsi="仿宋_GB2312" w:eastAsia="仿宋_GB2312" w:cs="仿宋_GB2312"/>
          <w:color w:val="auto"/>
          <w:sz w:val="24"/>
          <w:szCs w:val="24"/>
          <w:highlight w:val="none"/>
          <w:lang w:val="en-US" w:eastAsia="zh-CN"/>
        </w:rPr>
      </w:pPr>
    </w:p>
    <w:p w14:paraId="7A8DA36F">
      <w:pPr>
        <w:pStyle w:val="11"/>
        <w:jc w:val="right"/>
        <w:rPr>
          <w:rFonts w:hint="eastAsia" w:ascii="仿宋_GB2312" w:hAnsi="仿宋_GB2312" w:eastAsia="仿宋_GB2312" w:cs="仿宋_GB2312"/>
          <w:color w:val="auto"/>
          <w:sz w:val="24"/>
          <w:szCs w:val="24"/>
          <w:highlight w:val="none"/>
          <w:lang w:val="en-US" w:eastAsia="zh-CN"/>
        </w:rPr>
      </w:pPr>
    </w:p>
    <w:p w14:paraId="107868BD">
      <w:pPr>
        <w:pStyle w:val="11"/>
        <w:jc w:val="right"/>
        <w:rPr>
          <w:rFonts w:hint="eastAsia" w:ascii="仿宋_GB2312" w:hAnsi="仿宋_GB2312" w:eastAsia="仿宋_GB2312" w:cs="仿宋_GB2312"/>
          <w:color w:val="auto"/>
          <w:sz w:val="24"/>
          <w:szCs w:val="24"/>
          <w:highlight w:val="none"/>
          <w:lang w:val="en-US" w:eastAsia="zh-CN"/>
        </w:rPr>
      </w:pPr>
    </w:p>
    <w:p w14:paraId="76AFDCFC">
      <w:pPr>
        <w:pStyle w:val="11"/>
        <w:jc w:val="right"/>
        <w:rPr>
          <w:rFonts w:hint="eastAsia" w:ascii="仿宋_GB2312" w:hAnsi="仿宋_GB2312" w:eastAsia="仿宋_GB2312" w:cs="仿宋_GB2312"/>
          <w:color w:val="auto"/>
          <w:sz w:val="24"/>
          <w:szCs w:val="24"/>
          <w:highlight w:val="none"/>
          <w:lang w:val="en-US" w:eastAsia="zh-CN"/>
        </w:rPr>
      </w:pPr>
    </w:p>
    <w:p w14:paraId="491A5D63">
      <w:pPr>
        <w:pStyle w:val="11"/>
        <w:jc w:val="right"/>
        <w:rPr>
          <w:rFonts w:hint="eastAsia" w:ascii="仿宋_GB2312" w:hAnsi="仿宋_GB2312" w:eastAsia="仿宋_GB2312" w:cs="仿宋_GB2312"/>
          <w:color w:val="auto"/>
          <w:sz w:val="24"/>
          <w:szCs w:val="24"/>
          <w:highlight w:val="none"/>
          <w:lang w:val="en-US" w:eastAsia="zh-CN"/>
        </w:rPr>
      </w:pPr>
    </w:p>
    <w:p w14:paraId="6589C8A1">
      <w:pPr>
        <w:pStyle w:val="11"/>
        <w:jc w:val="right"/>
        <w:rPr>
          <w:rFonts w:hint="eastAsia" w:ascii="仿宋_GB2312" w:hAnsi="仿宋_GB2312" w:eastAsia="仿宋_GB2312" w:cs="仿宋_GB2312"/>
          <w:color w:val="auto"/>
          <w:sz w:val="24"/>
          <w:szCs w:val="24"/>
          <w:highlight w:val="none"/>
          <w:lang w:val="en-US" w:eastAsia="zh-CN"/>
        </w:rPr>
      </w:pPr>
    </w:p>
    <w:p w14:paraId="2662F2AB">
      <w:pPr>
        <w:pStyle w:val="11"/>
        <w:jc w:val="right"/>
        <w:rPr>
          <w:rFonts w:hint="eastAsia" w:ascii="仿宋_GB2312" w:hAnsi="仿宋_GB2312" w:eastAsia="仿宋_GB2312" w:cs="仿宋_GB2312"/>
          <w:color w:val="auto"/>
          <w:sz w:val="24"/>
          <w:szCs w:val="24"/>
          <w:highlight w:val="none"/>
          <w:lang w:val="en-US" w:eastAsia="zh-CN"/>
        </w:rPr>
      </w:pPr>
    </w:p>
    <w:p w14:paraId="5CE7698C">
      <w:pPr>
        <w:pStyle w:val="11"/>
        <w:jc w:val="right"/>
        <w:rPr>
          <w:rFonts w:hint="eastAsia" w:ascii="仿宋_GB2312" w:hAnsi="仿宋_GB2312" w:eastAsia="仿宋_GB2312" w:cs="仿宋_GB2312"/>
          <w:color w:val="auto"/>
          <w:sz w:val="24"/>
          <w:szCs w:val="24"/>
          <w:highlight w:val="none"/>
          <w:lang w:val="en-US" w:eastAsia="zh-CN"/>
        </w:rPr>
      </w:pPr>
    </w:p>
    <w:p w14:paraId="7FB3F8E1">
      <w:pPr>
        <w:pStyle w:val="11"/>
        <w:jc w:val="right"/>
        <w:rPr>
          <w:rFonts w:hint="eastAsia" w:ascii="仿宋_GB2312" w:hAnsi="仿宋_GB2312" w:eastAsia="仿宋_GB2312" w:cs="仿宋_GB2312"/>
          <w:color w:val="auto"/>
          <w:sz w:val="24"/>
          <w:szCs w:val="24"/>
          <w:highlight w:val="none"/>
          <w:lang w:val="en-US" w:eastAsia="zh-CN"/>
        </w:rPr>
      </w:pPr>
    </w:p>
    <w:p w14:paraId="6A3D6F51">
      <w:pPr>
        <w:pStyle w:val="11"/>
        <w:jc w:val="right"/>
        <w:rPr>
          <w:rFonts w:hint="eastAsia" w:ascii="仿宋_GB2312" w:hAnsi="仿宋_GB2312" w:eastAsia="仿宋_GB2312" w:cs="仿宋_GB2312"/>
          <w:color w:val="auto"/>
          <w:sz w:val="24"/>
          <w:szCs w:val="24"/>
          <w:highlight w:val="none"/>
          <w:lang w:val="en-US" w:eastAsia="zh-CN"/>
        </w:rPr>
      </w:pPr>
    </w:p>
    <w:p w14:paraId="7FE10B74">
      <w:pPr>
        <w:pStyle w:val="11"/>
        <w:jc w:val="right"/>
        <w:rPr>
          <w:rFonts w:hint="eastAsia" w:ascii="仿宋_GB2312" w:hAnsi="仿宋_GB2312" w:eastAsia="仿宋_GB2312" w:cs="仿宋_GB2312"/>
          <w:color w:val="auto"/>
          <w:sz w:val="24"/>
          <w:szCs w:val="24"/>
          <w:highlight w:val="none"/>
          <w:lang w:val="en-US" w:eastAsia="zh-CN"/>
        </w:rPr>
      </w:pPr>
    </w:p>
    <w:p w14:paraId="6831FD4C">
      <w:pPr>
        <w:pStyle w:val="11"/>
        <w:jc w:val="right"/>
        <w:rPr>
          <w:rFonts w:hint="eastAsia" w:ascii="仿宋_GB2312" w:hAnsi="仿宋_GB2312" w:eastAsia="仿宋_GB2312" w:cs="仿宋_GB2312"/>
          <w:color w:val="auto"/>
          <w:sz w:val="24"/>
          <w:szCs w:val="24"/>
          <w:highlight w:val="none"/>
          <w:lang w:val="en-US" w:eastAsia="zh-CN"/>
        </w:rPr>
      </w:pPr>
    </w:p>
    <w:p w14:paraId="56E465CA">
      <w:pPr>
        <w:pStyle w:val="11"/>
        <w:jc w:val="right"/>
        <w:rPr>
          <w:rFonts w:hint="eastAsia" w:ascii="仿宋_GB2312" w:hAnsi="仿宋_GB2312" w:eastAsia="仿宋_GB2312" w:cs="仿宋_GB2312"/>
          <w:color w:val="auto"/>
          <w:sz w:val="24"/>
          <w:szCs w:val="24"/>
          <w:highlight w:val="none"/>
          <w:lang w:val="en-US" w:eastAsia="zh-CN"/>
        </w:rPr>
      </w:pPr>
    </w:p>
    <w:p w14:paraId="417A1E1E">
      <w:pPr>
        <w:pStyle w:val="11"/>
        <w:jc w:val="right"/>
        <w:rPr>
          <w:rFonts w:hint="eastAsia" w:ascii="仿宋_GB2312" w:hAnsi="仿宋_GB2312" w:eastAsia="仿宋_GB2312" w:cs="仿宋_GB2312"/>
          <w:color w:val="auto"/>
          <w:sz w:val="24"/>
          <w:szCs w:val="24"/>
          <w:highlight w:val="none"/>
          <w:lang w:val="en-US" w:eastAsia="zh-CN"/>
        </w:rPr>
      </w:pPr>
    </w:p>
    <w:p w14:paraId="768516E5">
      <w:pPr>
        <w:pStyle w:val="11"/>
        <w:jc w:val="right"/>
        <w:rPr>
          <w:rFonts w:hint="eastAsia" w:ascii="仿宋_GB2312" w:hAnsi="仿宋_GB2312" w:eastAsia="仿宋_GB2312" w:cs="仿宋_GB2312"/>
          <w:color w:val="auto"/>
          <w:sz w:val="24"/>
          <w:szCs w:val="24"/>
          <w:highlight w:val="none"/>
          <w:lang w:val="en-US" w:eastAsia="zh-CN"/>
        </w:rPr>
      </w:pPr>
    </w:p>
    <w:p w14:paraId="0CCEF93E">
      <w:pPr>
        <w:pStyle w:val="11"/>
        <w:jc w:val="right"/>
        <w:rPr>
          <w:rFonts w:hint="eastAsia" w:ascii="仿宋_GB2312" w:hAnsi="仿宋_GB2312" w:eastAsia="仿宋_GB2312" w:cs="仿宋_GB2312"/>
          <w:color w:val="auto"/>
          <w:sz w:val="24"/>
          <w:szCs w:val="24"/>
          <w:highlight w:val="none"/>
          <w:lang w:val="en-US" w:eastAsia="zh-CN"/>
        </w:rPr>
      </w:pPr>
    </w:p>
    <w:p w14:paraId="3CD3CE58">
      <w:pPr>
        <w:pStyle w:val="11"/>
        <w:jc w:val="right"/>
        <w:rPr>
          <w:rFonts w:hint="eastAsia" w:ascii="仿宋_GB2312" w:hAnsi="仿宋_GB2312" w:eastAsia="仿宋_GB2312" w:cs="仿宋_GB2312"/>
          <w:color w:val="auto"/>
          <w:sz w:val="24"/>
          <w:szCs w:val="24"/>
          <w:highlight w:val="none"/>
          <w:lang w:val="en-US" w:eastAsia="zh-CN"/>
        </w:rPr>
      </w:pPr>
    </w:p>
    <w:p w14:paraId="3FA72D3D">
      <w:pPr>
        <w:pStyle w:val="11"/>
        <w:jc w:val="right"/>
        <w:rPr>
          <w:rFonts w:hint="eastAsia" w:ascii="仿宋_GB2312" w:hAnsi="仿宋_GB2312" w:eastAsia="仿宋_GB2312" w:cs="仿宋_GB2312"/>
          <w:color w:val="auto"/>
          <w:sz w:val="24"/>
          <w:szCs w:val="24"/>
          <w:highlight w:val="none"/>
          <w:lang w:val="en-US" w:eastAsia="zh-CN"/>
        </w:rPr>
      </w:pPr>
    </w:p>
    <w:p w14:paraId="43D65F28">
      <w:pPr>
        <w:pStyle w:val="11"/>
        <w:jc w:val="right"/>
        <w:rPr>
          <w:rFonts w:hint="eastAsia" w:ascii="仿宋_GB2312" w:hAnsi="仿宋_GB2312" w:eastAsia="仿宋_GB2312" w:cs="仿宋_GB2312"/>
          <w:color w:val="auto"/>
          <w:sz w:val="24"/>
          <w:szCs w:val="24"/>
          <w:highlight w:val="none"/>
          <w:lang w:val="en-US" w:eastAsia="zh-CN"/>
        </w:rPr>
      </w:pPr>
    </w:p>
    <w:p w14:paraId="3096C1E0">
      <w:pPr>
        <w:pStyle w:val="11"/>
        <w:jc w:val="right"/>
        <w:rPr>
          <w:rFonts w:hint="eastAsia" w:ascii="仿宋_GB2312" w:hAnsi="仿宋_GB2312" w:eastAsia="仿宋_GB2312" w:cs="仿宋_GB2312"/>
          <w:color w:val="auto"/>
          <w:sz w:val="24"/>
          <w:szCs w:val="24"/>
          <w:highlight w:val="none"/>
          <w:lang w:val="en-US" w:eastAsia="zh-CN"/>
        </w:rPr>
      </w:pPr>
    </w:p>
    <w:p w14:paraId="42D621C7">
      <w:pPr>
        <w:pStyle w:val="11"/>
        <w:jc w:val="right"/>
        <w:rPr>
          <w:rFonts w:hint="eastAsia" w:ascii="仿宋_GB2312" w:hAnsi="仿宋_GB2312" w:eastAsia="仿宋_GB2312" w:cs="仿宋_GB2312"/>
          <w:color w:val="auto"/>
          <w:sz w:val="24"/>
          <w:szCs w:val="24"/>
          <w:highlight w:val="none"/>
          <w:lang w:val="en-US" w:eastAsia="zh-CN"/>
        </w:rPr>
      </w:pPr>
    </w:p>
    <w:p w14:paraId="2BBCD67A">
      <w:pPr>
        <w:pStyle w:val="11"/>
        <w:jc w:val="right"/>
        <w:rPr>
          <w:rFonts w:hint="eastAsia" w:ascii="仿宋_GB2312" w:hAnsi="仿宋_GB2312" w:eastAsia="仿宋_GB2312" w:cs="仿宋_GB2312"/>
          <w:color w:val="auto"/>
          <w:sz w:val="24"/>
          <w:szCs w:val="24"/>
          <w:highlight w:val="none"/>
          <w:lang w:val="en-US" w:eastAsia="zh-CN"/>
        </w:rPr>
      </w:pPr>
    </w:p>
    <w:p w14:paraId="27DC7189">
      <w:pPr>
        <w:pStyle w:val="11"/>
        <w:jc w:val="right"/>
        <w:rPr>
          <w:rFonts w:hint="eastAsia" w:ascii="仿宋_GB2312" w:hAnsi="仿宋_GB2312" w:eastAsia="仿宋_GB2312" w:cs="仿宋_GB2312"/>
          <w:color w:val="auto"/>
          <w:sz w:val="24"/>
          <w:szCs w:val="24"/>
          <w:highlight w:val="none"/>
          <w:lang w:val="en-US" w:eastAsia="zh-CN"/>
        </w:rPr>
      </w:pPr>
    </w:p>
    <w:p w14:paraId="5DA60CFD">
      <w:pPr>
        <w:pStyle w:val="11"/>
        <w:jc w:val="right"/>
        <w:rPr>
          <w:rFonts w:hint="eastAsia" w:ascii="仿宋_GB2312" w:hAnsi="仿宋_GB2312" w:eastAsia="仿宋_GB2312" w:cs="仿宋_GB2312"/>
          <w:color w:val="auto"/>
          <w:sz w:val="24"/>
          <w:szCs w:val="24"/>
          <w:highlight w:val="none"/>
          <w:lang w:val="en-US" w:eastAsia="zh-CN"/>
        </w:rPr>
      </w:pPr>
    </w:p>
    <w:p w14:paraId="0073BC91">
      <w:pPr>
        <w:pStyle w:val="11"/>
        <w:jc w:val="right"/>
        <w:rPr>
          <w:rFonts w:hint="eastAsia" w:ascii="仿宋_GB2312" w:hAnsi="仿宋_GB2312" w:eastAsia="仿宋_GB2312" w:cs="仿宋_GB2312"/>
          <w:color w:val="auto"/>
          <w:sz w:val="24"/>
          <w:szCs w:val="24"/>
          <w:highlight w:val="none"/>
          <w:lang w:val="en-US" w:eastAsia="zh-CN"/>
        </w:rPr>
      </w:pPr>
    </w:p>
    <w:p w14:paraId="677AE38F">
      <w:pPr>
        <w:pStyle w:val="11"/>
        <w:jc w:val="right"/>
        <w:rPr>
          <w:rFonts w:hint="eastAsia" w:ascii="仿宋_GB2312" w:hAnsi="仿宋_GB2312" w:eastAsia="仿宋_GB2312" w:cs="仿宋_GB2312"/>
          <w:color w:val="auto"/>
          <w:sz w:val="24"/>
          <w:szCs w:val="24"/>
          <w:highlight w:val="none"/>
          <w:lang w:val="en-US" w:eastAsia="zh-CN"/>
        </w:rPr>
      </w:pPr>
    </w:p>
    <w:p w14:paraId="0C3EF10D">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42536818">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7BBC4AC3">
      <w:pPr>
        <w:spacing w:line="360" w:lineRule="auto"/>
        <w:ind w:firstLine="0" w:firstLineChars="0"/>
        <w:jc w:val="left"/>
        <w:rPr>
          <w:rFonts w:hint="eastAsia" w:ascii="楷体_GB2312" w:hAnsi="宋体" w:eastAsia="楷体_GB2312"/>
          <w:b/>
          <w:sz w:val="24"/>
          <w:szCs w:val="24"/>
        </w:rPr>
      </w:pPr>
    </w:p>
    <w:p w14:paraId="163D451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3B06059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5FFC4AE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59C727A9">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045A6A5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5A0C07D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7248C16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608A736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784B555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6E5687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4F39C0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7D380FD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58B70CE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A3A56B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3376D16F">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4C67B0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7E70F1B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53903FB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06DDE30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11C157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3C98B23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4700A45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F3DAF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0440DF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3919FBC8">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43F809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417B2D0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676150A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61EC3A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5825D44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7484E5F7">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72F40556">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2F222BC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7303880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6055A93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74F38A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373DF9F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33D19F5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1665BEA">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6E99F59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593EEC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06431A9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1B370B7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100619E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1F939AE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348E798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4FBAEDF6">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7A372A4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5AFA2A9F">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4CD7C9EB">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5B66C314">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05B9F5D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7161B9D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3F696B0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A171D0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55FA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376F2E3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629997F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090515B4">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0C73219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29D4C55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75E4320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7E87342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0699F401">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619879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797DFE0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08DA3BA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754CF3A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7F9B13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6D76EA9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749FCBA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5FBF5F98">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26265963">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584CEB09">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ED88731">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56F8DA2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1E049CA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01D5F8CE">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405BBCC7">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60D77BE4">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7453A47C">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7E9EFC6">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79498DBA">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32D8A95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03F6F7E5">
      <w:pPr>
        <w:spacing w:line="240" w:lineRule="auto"/>
        <w:ind w:firstLine="0" w:firstLineChars="0"/>
        <w:rPr>
          <w:rFonts w:ascii="Times New Roman" w:hAnsi="Times New Roman" w:eastAsia="宋体"/>
          <w:sz w:val="21"/>
          <w:szCs w:val="24"/>
        </w:rPr>
      </w:pPr>
    </w:p>
    <w:p w14:paraId="2DB2C649">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2C1DBB8">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696F4F10">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2D0D8A82">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0FD34955">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5866DF5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783DF440">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6CD45C5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474829A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5887A65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3D2C021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7DC04AE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54B9962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6200DF8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19C68DF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630451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2DDB32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6768FA5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65B0978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16C6D2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271028E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3FC3878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4A67A57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5EA79B99">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4F28DD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27F3ACD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5A0E5A1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531D5A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3CBB81B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2DBD9F0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793D8E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25539A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111A2D2E">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6F0BA4ED">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7A750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7395E32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2956133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308DD8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65F3FFF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230F8F10">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79FF4EF3">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488A9F04">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0764203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16CE6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254741B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563CC9C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11A858EE">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71B9CE18">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0D2875FD">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6C8FD417">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3DAC3E7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29628A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3883589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608A83A1">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6B31197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F89DF03">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0D057E5C">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34C70576">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35964358">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13E2C3DE">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7BBB0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3A80B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3B163D23">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6C917F8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0C9EC7B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6386FF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6ABD077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B1975E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6CA52CF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47B668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4E0DDF2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5F81798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4D3082C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46E43DE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27AFC3E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2BF42E7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186DC3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65F61F3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788D200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5D7A099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1E2C5FB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30AA72D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746382A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4D1F8D0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3CAF395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55EF8A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7E1BA5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7199DD7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020557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2ABD40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2A073B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17B2BD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0D45E7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35BCAD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19EA1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714742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0B4F32D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357DBD3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057F22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74E7472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086984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118606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42E15F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71DF6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1B7B7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30A8EE25">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6DB868E3">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3A64CA9A">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评审机构及成员</w:t>
      </w:r>
    </w:p>
    <w:p w14:paraId="1389B6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本项目成立评审小组。评审工作由评审小组负责。</w:t>
      </w:r>
    </w:p>
    <w:p w14:paraId="61531F9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评审小组共5人,由</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的技术、经济专家组成，另设监</w:t>
      </w:r>
      <w:r>
        <w:rPr>
          <w:rFonts w:hint="eastAsia" w:ascii="仿宋_GB2312" w:hAnsi="仿宋_GB2312" w:eastAsia="仿宋_GB2312" w:cs="仿宋_GB2312"/>
          <w:color w:val="auto"/>
          <w:sz w:val="24"/>
          <w:szCs w:val="24"/>
          <w:highlight w:val="none"/>
          <w:lang w:eastAsia="zh-CN"/>
        </w:rPr>
        <w:t>督</w:t>
      </w:r>
      <w:r>
        <w:rPr>
          <w:rFonts w:hint="eastAsia" w:ascii="仿宋_GB2312" w:hAnsi="仿宋_GB2312" w:eastAsia="仿宋_GB2312" w:cs="仿宋_GB2312"/>
          <w:color w:val="auto"/>
          <w:sz w:val="24"/>
          <w:szCs w:val="24"/>
          <w:highlight w:val="none"/>
        </w:rPr>
        <w:t>组1人。</w:t>
      </w:r>
    </w:p>
    <w:p w14:paraId="651E5C02">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评审程序和内容</w:t>
      </w:r>
      <w:r>
        <w:rPr>
          <w:rFonts w:hint="eastAsia" w:ascii="仿宋_GB2312" w:hAnsi="仿宋_GB2312" w:eastAsia="仿宋_GB2312" w:cs="仿宋_GB2312"/>
          <w:b/>
          <w:bCs/>
          <w:color w:val="auto"/>
          <w:sz w:val="24"/>
          <w:szCs w:val="24"/>
          <w:highlight w:val="none"/>
          <w:lang w:eastAsia="zh-CN"/>
        </w:rPr>
        <w:t>（先技术评审，再商务评审）</w:t>
      </w:r>
    </w:p>
    <w:p w14:paraId="37121889">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阅读</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lang w:eastAsia="zh"/>
        </w:rPr>
        <w:t>文件</w:t>
      </w:r>
      <w:r>
        <w:rPr>
          <w:rFonts w:hint="eastAsia" w:ascii="仿宋_GB2312" w:hAnsi="仿宋_GB2312" w:eastAsia="仿宋_GB2312" w:cs="仿宋_GB2312"/>
          <w:color w:val="auto"/>
          <w:sz w:val="24"/>
          <w:szCs w:val="24"/>
          <w:highlight w:val="none"/>
        </w:rPr>
        <w:t>及有关资料。</w:t>
      </w:r>
    </w:p>
    <w:p w14:paraId="00AE235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的原件复印件（包括营业执照、银行资信证明等）、授权委托书等进行评审。有下列情形之一的，评</w:t>
      </w:r>
      <w:r>
        <w:rPr>
          <w:rFonts w:hint="eastAsia" w:ascii="仿宋_GB2312" w:hAnsi="仿宋_GB2312" w:eastAsia="仿宋_GB2312" w:cs="仿宋_GB2312"/>
          <w:color w:val="auto"/>
          <w:sz w:val="24"/>
          <w:szCs w:val="24"/>
          <w:highlight w:val="none"/>
          <w:lang w:eastAsia="zh-CN"/>
        </w:rPr>
        <w:t>审小组</w:t>
      </w:r>
      <w:r>
        <w:rPr>
          <w:rFonts w:hint="eastAsia" w:ascii="仿宋_GB2312" w:hAnsi="仿宋_GB2312" w:eastAsia="仿宋_GB2312" w:cs="仿宋_GB2312"/>
          <w:color w:val="auto"/>
          <w:sz w:val="24"/>
          <w:szCs w:val="24"/>
          <w:highlight w:val="none"/>
        </w:rPr>
        <w:t>应当否决其</w:t>
      </w:r>
      <w:r>
        <w:rPr>
          <w:rFonts w:hint="eastAsia" w:ascii="仿宋_GB2312" w:hAnsi="仿宋_GB2312" w:eastAsia="仿宋_GB2312" w:cs="仿宋_GB2312"/>
          <w:color w:val="auto"/>
          <w:sz w:val="24"/>
          <w:szCs w:val="24"/>
          <w:highlight w:val="none"/>
          <w:lang w:eastAsia="zh-CN"/>
        </w:rPr>
        <w:t>报价资格</w:t>
      </w:r>
      <w:r>
        <w:rPr>
          <w:rFonts w:hint="eastAsia" w:ascii="仿宋_GB2312" w:hAnsi="仿宋_GB2312" w:eastAsia="仿宋_GB2312" w:cs="仿宋_GB2312"/>
          <w:color w:val="auto"/>
          <w:sz w:val="24"/>
          <w:szCs w:val="24"/>
          <w:highlight w:val="none"/>
        </w:rPr>
        <w:t>：（一）</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未经</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单位盖章和单位负责人签字；（二）</w:t>
      </w:r>
      <w:r>
        <w:rPr>
          <w:rFonts w:hint="eastAsia" w:ascii="仿宋_GB2312" w:hAnsi="仿宋_GB2312" w:eastAsia="仿宋_GB2312" w:cs="仿宋_GB2312"/>
          <w:color w:val="auto"/>
          <w:sz w:val="24"/>
          <w:szCs w:val="24"/>
          <w:highlight w:val="none"/>
          <w:lang w:eastAsia="zh"/>
          <w:woUserID w:val="1"/>
        </w:rPr>
        <w:t>报价文件中提出负偏差，但因国家法律法规、政策需更改的除外</w:t>
      </w:r>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不符</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文件规定的资格条件；（四）同一</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提交</w:t>
      </w:r>
      <w:r>
        <w:rPr>
          <w:rFonts w:hint="eastAsia" w:ascii="仿宋_GB2312" w:hAnsi="仿宋_GB2312" w:eastAsia="仿宋_GB2312" w:cs="仿宋_GB2312"/>
          <w:color w:val="auto"/>
          <w:sz w:val="24"/>
          <w:szCs w:val="24"/>
          <w:highlight w:val="none"/>
          <w:lang w:eastAsia="zh"/>
        </w:rPr>
        <w:t>1</w:t>
      </w:r>
      <w:r>
        <w:rPr>
          <w:rFonts w:hint="eastAsia" w:ascii="仿宋_GB2312" w:hAnsi="仿宋_GB2312" w:eastAsia="仿宋_GB2312" w:cs="仿宋_GB2312"/>
          <w:color w:val="auto"/>
          <w:sz w:val="24"/>
          <w:szCs w:val="24"/>
          <w:highlight w:val="none"/>
        </w:rPr>
        <w:t>个以上不同的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或报价，但</w:t>
      </w:r>
      <w:r>
        <w:rPr>
          <w:rFonts w:hint="eastAsia" w:ascii="仿宋_GB2312" w:hAnsi="仿宋_GB2312" w:eastAsia="仿宋_GB2312" w:cs="仿宋_GB2312"/>
          <w:color w:val="auto"/>
          <w:sz w:val="24"/>
          <w:szCs w:val="24"/>
          <w:highlight w:val="none"/>
          <w:lang w:eastAsia="zh-CN"/>
        </w:rPr>
        <w:t>竞争性谈判文件允许二次报价或澄清的</w:t>
      </w:r>
      <w:r>
        <w:rPr>
          <w:rFonts w:hint="eastAsia" w:ascii="仿宋_GB2312" w:hAnsi="仿宋_GB2312" w:eastAsia="仿宋_GB2312" w:cs="仿宋_GB2312"/>
          <w:color w:val="auto"/>
          <w:sz w:val="24"/>
          <w:szCs w:val="24"/>
          <w:highlight w:val="none"/>
        </w:rPr>
        <w:t>除外；（五）报价</w:t>
      </w:r>
      <w:r>
        <w:rPr>
          <w:rFonts w:hint="eastAsia" w:ascii="仿宋_GB2312" w:hAnsi="仿宋_GB2312" w:eastAsia="仿宋_GB2312" w:cs="仿宋_GB2312"/>
          <w:color w:val="auto"/>
          <w:sz w:val="24"/>
          <w:szCs w:val="24"/>
          <w:highlight w:val="none"/>
          <w:lang w:eastAsia="zh-CN"/>
        </w:rPr>
        <w:t>明显</w:t>
      </w:r>
      <w:r>
        <w:rPr>
          <w:rFonts w:hint="eastAsia" w:ascii="仿宋_GB2312" w:hAnsi="仿宋_GB2312" w:eastAsia="仿宋_GB2312" w:cs="仿宋_GB2312"/>
          <w:color w:val="auto"/>
          <w:sz w:val="24"/>
          <w:szCs w:val="24"/>
          <w:highlight w:val="none"/>
        </w:rPr>
        <w:t>低于</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成本或者高于</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文件设定的最高限价；（六）</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没有对</w:t>
      </w:r>
      <w:r>
        <w:rPr>
          <w:rFonts w:hint="eastAsia" w:ascii="仿宋_GB2312" w:hAnsi="仿宋_GB2312" w:eastAsia="仿宋_GB2312" w:cs="仿宋_GB2312"/>
          <w:color w:val="auto"/>
          <w:sz w:val="24"/>
          <w:szCs w:val="24"/>
          <w:highlight w:val="none"/>
          <w:lang w:eastAsia="zh-CN"/>
        </w:rPr>
        <w:t>竞争性</w:t>
      </w:r>
      <w:r>
        <w:rPr>
          <w:rFonts w:hint="eastAsia" w:ascii="仿宋_GB2312" w:hAnsi="仿宋_GB2312" w:eastAsia="仿宋_GB2312" w:cs="仿宋_GB2312"/>
          <w:color w:val="auto"/>
          <w:sz w:val="24"/>
          <w:szCs w:val="24"/>
          <w:highlight w:val="none"/>
        </w:rPr>
        <w:t>文件的实质性要求和条件作出响应；（七）</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违反报价纪律的</w:t>
      </w:r>
      <w:r>
        <w:rPr>
          <w:rFonts w:hint="eastAsia" w:ascii="仿宋_GB2312" w:hAnsi="仿宋_GB2312" w:eastAsia="仿宋_GB2312" w:cs="仿宋_GB2312"/>
          <w:color w:val="auto"/>
          <w:sz w:val="24"/>
          <w:szCs w:val="24"/>
          <w:highlight w:val="none"/>
        </w:rPr>
        <w:t>行为。</w:t>
      </w:r>
    </w:p>
    <w:p w14:paraId="63C559F1">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2.2 </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文件澄清</w:t>
      </w:r>
    </w:p>
    <w:p w14:paraId="7C0D98E0">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在必要时，为有助于</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文件的审查、评价和比较，评审专家认为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提供的符合性审查资料在形式上存在瑕疵的</w:t>
      </w:r>
      <w:r>
        <w:rPr>
          <w:rFonts w:hint="eastAsia" w:ascii="仿宋_GB2312" w:hAnsi="仿宋_GB2312" w:eastAsia="仿宋_GB2312" w:cs="仿宋_GB2312"/>
          <w:color w:val="auto"/>
          <w:sz w:val="24"/>
          <w:szCs w:val="24"/>
          <w:highlight w:val="none"/>
          <w:lang w:eastAsia="zh-CN"/>
        </w:rPr>
        <w:t>或报价文件</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表意</w:t>
      </w:r>
      <w:r>
        <w:rPr>
          <w:rFonts w:hint="eastAsia" w:ascii="仿宋_GB2312" w:hAnsi="仿宋_GB2312" w:eastAsia="仿宋_GB2312" w:cs="仿宋_GB2312"/>
          <w:color w:val="auto"/>
          <w:sz w:val="24"/>
          <w:szCs w:val="24"/>
          <w:highlight w:val="none"/>
        </w:rPr>
        <w:t>不清的地方，</w:t>
      </w:r>
      <w:r>
        <w:rPr>
          <w:rFonts w:hint="eastAsia" w:ascii="仿宋_GB2312" w:hAnsi="仿宋_GB2312" w:eastAsia="仿宋_GB2312" w:cs="仿宋_GB2312"/>
          <w:color w:val="auto"/>
          <w:sz w:val="24"/>
          <w:szCs w:val="24"/>
          <w:highlight w:val="none"/>
          <w:lang w:eastAsia="zh-CN"/>
        </w:rPr>
        <w:t>可以</w:t>
      </w:r>
      <w:r>
        <w:rPr>
          <w:rFonts w:hint="eastAsia" w:ascii="仿宋_GB2312" w:hAnsi="仿宋_GB2312" w:eastAsia="仿宋_GB2312" w:cs="仿宋_GB2312"/>
          <w:color w:val="auto"/>
          <w:sz w:val="24"/>
          <w:szCs w:val="24"/>
          <w:highlight w:val="none"/>
        </w:rPr>
        <w:t>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瑕疵</w:t>
      </w:r>
      <w:r>
        <w:rPr>
          <w:rFonts w:hint="eastAsia" w:ascii="仿宋_GB2312" w:hAnsi="仿宋_GB2312" w:eastAsia="仿宋_GB2312" w:cs="仿宋_GB2312"/>
          <w:color w:val="auto"/>
          <w:sz w:val="24"/>
          <w:szCs w:val="24"/>
          <w:highlight w:val="none"/>
        </w:rPr>
        <w:t>进行补正，但不得要求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提供全新的</w:t>
      </w:r>
      <w:r>
        <w:rPr>
          <w:rFonts w:hint="eastAsia" w:ascii="仿宋_GB2312" w:hAnsi="仿宋_GB2312" w:eastAsia="仿宋_GB2312" w:cs="仿宋_GB2312"/>
          <w:color w:val="auto"/>
          <w:sz w:val="24"/>
          <w:szCs w:val="24"/>
          <w:highlight w:val="none"/>
          <w:lang w:eastAsia="zh-CN"/>
        </w:rPr>
        <w:t>、可额外增加</w:t>
      </w:r>
      <w:r>
        <w:rPr>
          <w:rFonts w:hint="eastAsia" w:ascii="仿宋_GB2312" w:hAnsi="仿宋_GB2312" w:eastAsia="仿宋_GB2312" w:cs="仿宋_GB2312"/>
          <w:color w:val="auto"/>
          <w:sz w:val="24"/>
          <w:szCs w:val="24"/>
          <w:highlight w:val="none"/>
        </w:rPr>
        <w:t>其评审得分的</w:t>
      </w:r>
      <w:r>
        <w:rPr>
          <w:rFonts w:hint="eastAsia" w:ascii="仿宋_GB2312" w:hAnsi="仿宋_GB2312" w:eastAsia="仿宋_GB2312" w:cs="仿宋_GB2312"/>
          <w:color w:val="auto"/>
          <w:sz w:val="24"/>
          <w:szCs w:val="24"/>
          <w:highlight w:val="none"/>
          <w:lang w:eastAsia="zh-CN"/>
        </w:rPr>
        <w:t>证明</w:t>
      </w:r>
      <w:r>
        <w:rPr>
          <w:rFonts w:hint="eastAsia" w:ascii="仿宋_GB2312" w:hAnsi="仿宋_GB2312" w:eastAsia="仿宋_GB2312" w:cs="仿宋_GB2312"/>
          <w:color w:val="auto"/>
          <w:sz w:val="24"/>
          <w:szCs w:val="24"/>
          <w:highlight w:val="none"/>
        </w:rPr>
        <w:t>资料。评审小组</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以书面</w:t>
      </w:r>
      <w:r>
        <w:rPr>
          <w:rFonts w:hint="eastAsia" w:ascii="仿宋_GB2312" w:hAnsi="仿宋_GB2312" w:eastAsia="仿宋_GB2312" w:cs="仿宋_GB2312"/>
          <w:color w:val="auto"/>
          <w:sz w:val="24"/>
          <w:szCs w:val="24"/>
          <w:highlight w:val="none"/>
          <w:lang w:eastAsia="zh-CN"/>
        </w:rPr>
        <w:t>形式</w:t>
      </w:r>
      <w:r>
        <w:rPr>
          <w:rFonts w:hint="eastAsia" w:ascii="仿宋_GB2312" w:hAnsi="仿宋_GB2312" w:eastAsia="仿宋_GB2312" w:cs="仿宋_GB2312"/>
          <w:color w:val="auto"/>
          <w:sz w:val="24"/>
          <w:szCs w:val="24"/>
          <w:highlight w:val="none"/>
        </w:rPr>
        <w:t>进行澄清，</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接到评审小组书面澄清问题后</w:t>
      </w:r>
      <w:r>
        <w:rPr>
          <w:rFonts w:hint="eastAsia" w:ascii="仿宋_GB2312" w:hAnsi="仿宋_GB2312" w:eastAsia="仿宋_GB2312" w:cs="仿宋_GB2312"/>
          <w:color w:val="auto"/>
          <w:sz w:val="24"/>
          <w:szCs w:val="24"/>
          <w:highlight w:val="none"/>
          <w:lang w:eastAsia="zh-CN"/>
        </w:rPr>
        <w:t>的一小时内</w:t>
      </w:r>
      <w:r>
        <w:rPr>
          <w:rFonts w:hint="eastAsia" w:ascii="仿宋_GB2312" w:hAnsi="仿宋_GB2312" w:eastAsia="仿宋_GB2312" w:cs="仿宋_GB2312"/>
          <w:color w:val="auto"/>
          <w:sz w:val="24"/>
          <w:szCs w:val="24"/>
          <w:highlight w:val="none"/>
        </w:rPr>
        <w:t>以书面形式将澄清</w:t>
      </w:r>
      <w:r>
        <w:rPr>
          <w:rFonts w:hint="eastAsia" w:ascii="仿宋_GB2312" w:hAnsi="仿宋_GB2312" w:eastAsia="仿宋_GB2312" w:cs="仿宋_GB2312"/>
          <w:color w:val="auto"/>
          <w:sz w:val="24"/>
          <w:szCs w:val="24"/>
          <w:highlight w:val="none"/>
          <w:lang w:eastAsia="zh-CN"/>
        </w:rPr>
        <w:t>及补正资料</w:t>
      </w:r>
      <w:r>
        <w:rPr>
          <w:rFonts w:hint="eastAsia" w:ascii="仿宋_GB2312" w:hAnsi="仿宋_GB2312" w:eastAsia="仿宋_GB2312" w:cs="仿宋_GB2312"/>
          <w:color w:val="auto"/>
          <w:sz w:val="24"/>
          <w:szCs w:val="24"/>
          <w:highlight w:val="none"/>
        </w:rPr>
        <w:t>回复</w:t>
      </w:r>
      <w:r>
        <w:rPr>
          <w:rFonts w:hint="eastAsia" w:ascii="仿宋_GB2312" w:hAnsi="仿宋_GB2312" w:eastAsia="仿宋_GB2312" w:cs="仿宋_GB2312"/>
          <w:color w:val="auto"/>
          <w:sz w:val="24"/>
          <w:szCs w:val="24"/>
          <w:highlight w:val="none"/>
          <w:lang w:eastAsia="zh-CN"/>
        </w:rPr>
        <w:t>至</w:t>
      </w:r>
      <w:r>
        <w:rPr>
          <w:rFonts w:hint="eastAsia" w:ascii="仿宋_GB2312" w:hAnsi="仿宋_GB2312" w:eastAsia="仿宋_GB2312" w:cs="仿宋_GB2312"/>
          <w:color w:val="auto"/>
          <w:sz w:val="24"/>
          <w:szCs w:val="24"/>
          <w:highlight w:val="none"/>
        </w:rPr>
        <w:t>评审组</w:t>
      </w:r>
      <w:r>
        <w:rPr>
          <w:rFonts w:hint="eastAsia" w:ascii="仿宋_GB2312" w:hAnsi="仿宋_GB2312" w:eastAsia="仿宋_GB2312" w:cs="仿宋_GB2312"/>
          <w:color w:val="auto"/>
          <w:sz w:val="24"/>
          <w:szCs w:val="24"/>
          <w:highlight w:val="none"/>
          <w:lang w:eastAsia="zh-CN"/>
        </w:rPr>
        <w:t>，未在时限内完成补正或</w:t>
      </w:r>
      <w:r>
        <w:rPr>
          <w:rFonts w:hint="eastAsia" w:ascii="仿宋_GB2312" w:hAnsi="仿宋_GB2312" w:eastAsia="仿宋_GB2312" w:cs="仿宋_GB2312"/>
          <w:color w:val="auto"/>
          <w:sz w:val="24"/>
          <w:szCs w:val="24"/>
          <w:highlight w:val="none"/>
        </w:rPr>
        <w:t>经补正仍不符合公告要求的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评审组</w:t>
      </w:r>
      <w:r>
        <w:rPr>
          <w:rFonts w:hint="eastAsia" w:ascii="仿宋_GB2312" w:hAnsi="仿宋_GB2312" w:eastAsia="仿宋_GB2312" w:cs="仿宋_GB2312"/>
          <w:color w:val="auto"/>
          <w:sz w:val="24"/>
          <w:szCs w:val="24"/>
          <w:highlight w:val="none"/>
        </w:rPr>
        <w:t>应视为未提供该项资料。</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澄清回复应有法定代表人或被授权代表人签字</w:t>
      </w:r>
      <w:r>
        <w:rPr>
          <w:rFonts w:hint="eastAsia" w:ascii="仿宋_GB2312" w:hAnsi="仿宋_GB2312" w:eastAsia="仿宋_GB2312" w:cs="仿宋_GB2312"/>
          <w:color w:val="auto"/>
          <w:sz w:val="24"/>
          <w:szCs w:val="24"/>
          <w:highlight w:val="none"/>
          <w:lang w:eastAsia="zh-CN"/>
        </w:rPr>
        <w:t>并加盖</w:t>
      </w:r>
      <w:r>
        <w:rPr>
          <w:rFonts w:hint="eastAsia" w:ascii="仿宋_GB2312" w:hAnsi="仿宋_GB2312" w:eastAsia="仿宋_GB2312" w:cs="仿宋_GB2312"/>
          <w:color w:val="auto"/>
          <w:sz w:val="24"/>
          <w:szCs w:val="24"/>
          <w:highlight w:val="none"/>
        </w:rPr>
        <w:t>公章，澄清问题回复</w:t>
      </w:r>
      <w:r>
        <w:rPr>
          <w:rFonts w:hint="eastAsia" w:ascii="仿宋_GB2312" w:hAnsi="仿宋_GB2312" w:eastAsia="仿宋_GB2312" w:cs="仿宋_GB2312"/>
          <w:color w:val="auto"/>
          <w:sz w:val="24"/>
          <w:szCs w:val="24"/>
          <w:highlight w:val="none"/>
          <w:lang w:eastAsia="zh-CN"/>
        </w:rPr>
        <w:t>将成</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文件的组成部分。</w:t>
      </w:r>
      <w:r>
        <w:rPr>
          <w:rFonts w:hint="eastAsia" w:ascii="仿宋_GB2312" w:hAnsi="仿宋_GB2312" w:eastAsia="仿宋_GB2312" w:cs="仿宋_GB2312"/>
          <w:color w:val="auto"/>
          <w:sz w:val="24"/>
          <w:szCs w:val="24"/>
          <w:highlight w:val="none"/>
          <w:lang w:eastAsia="zh-CN"/>
        </w:rPr>
        <w:t>澄清文件收发邮箱地址为：</w:t>
      </w:r>
      <w:r>
        <w:rPr>
          <w:rFonts w:hint="eastAsia" w:ascii="仿宋_GB2312" w:hAnsi="仿宋_GB2312" w:eastAsia="仿宋_GB2312" w:cs="仿宋_GB2312"/>
          <w:color w:val="auto"/>
          <w:sz w:val="24"/>
          <w:szCs w:val="24"/>
          <w:highlight w:val="none"/>
          <w:lang w:val="en-US" w:eastAsia="zh-CN"/>
        </w:rPr>
        <w:t>cnfdjzxtp@163.com。</w:t>
      </w:r>
    </w:p>
    <w:p w14:paraId="2FE107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综合</w:t>
      </w:r>
      <w:r>
        <w:rPr>
          <w:rFonts w:hint="eastAsia" w:ascii="仿宋_GB2312" w:hAnsi="仿宋_GB2312" w:eastAsia="仿宋_GB2312" w:cs="仿宋_GB2312"/>
          <w:color w:val="auto"/>
          <w:sz w:val="24"/>
          <w:szCs w:val="24"/>
          <w:highlight w:val="none"/>
          <w:lang w:eastAsia="zh"/>
        </w:rPr>
        <w:t>评审程序</w:t>
      </w:r>
    </w:p>
    <w:p w14:paraId="473593F0">
      <w:pPr>
        <w:spacing w:line="360" w:lineRule="auto"/>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
        </w:rPr>
        <w:t xml:space="preserve">  2.3.1符合性审查</w:t>
      </w:r>
    </w:p>
    <w:p w14:paraId="1B17AE44">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2.3.2技术评分，但合格报价人的数量不具有竞争性的，评审终止，采购人有权根据实际情况决定是否重新组织采购。</w:t>
      </w:r>
    </w:p>
    <w:p w14:paraId="7055F6D9">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2.3.3价格谈判。评审小组对合格报价人进行价格谈判。</w:t>
      </w:r>
    </w:p>
    <w:p w14:paraId="7CD4327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
        </w:rPr>
        <w:t>2.3.4</w:t>
      </w:r>
      <w:r>
        <w:rPr>
          <w:rFonts w:hint="eastAsia" w:ascii="仿宋_GB2312" w:hAnsi="仿宋_GB2312" w:eastAsia="仿宋_GB2312" w:cs="仿宋_GB2312"/>
          <w:color w:val="auto"/>
          <w:sz w:val="24"/>
          <w:szCs w:val="24"/>
          <w:highlight w:val="none"/>
        </w:rPr>
        <w:t>评审应依据评审办法对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进行详细评审，合理评定打分，统计排序。</w:t>
      </w:r>
    </w:p>
    <w:p w14:paraId="3919BA3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
        </w:rPr>
        <w:t>4</w:t>
      </w:r>
      <w:r>
        <w:rPr>
          <w:rFonts w:hint="eastAsia" w:ascii="仿宋_GB2312" w:hAnsi="仿宋_GB2312" w:eastAsia="仿宋_GB2312" w:cs="仿宋_GB2312"/>
          <w:color w:val="auto"/>
          <w:sz w:val="24"/>
          <w:szCs w:val="24"/>
          <w:highlight w:val="none"/>
        </w:rPr>
        <w:t xml:space="preserve"> 编制评审报告</w:t>
      </w:r>
    </w:p>
    <w:p w14:paraId="72BBFE3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评审小组完成评审后，应编写评审报告。</w:t>
      </w:r>
    </w:p>
    <w:p w14:paraId="26F95FD4">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评审办法</w:t>
      </w:r>
    </w:p>
    <w:p w14:paraId="44A024D9">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3.1符合性审查</w:t>
      </w:r>
    </w:p>
    <w:p w14:paraId="1F669BB2">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对照“合格的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”内容一一审查各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lang w:eastAsia="zh"/>
        </w:rPr>
        <w:t>，得出各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的符合性结论。</w:t>
      </w:r>
    </w:p>
    <w:p w14:paraId="49415D18">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未通过符合性审查的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将被否决，评审专家不再对其进行技术评审和商务评审。</w:t>
      </w:r>
    </w:p>
    <w:p w14:paraId="4E9F99DE">
      <w:pPr>
        <w:spacing w:line="360" w:lineRule="auto"/>
        <w:ind w:firstLine="480" w:firstLineChars="20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2</w:t>
      </w:r>
      <w:r>
        <w:rPr>
          <w:rFonts w:hint="eastAsia" w:ascii="仿宋_GB2312" w:hAnsi="仿宋_GB2312" w:eastAsia="仿宋_GB2312" w:cs="仿宋_GB2312"/>
          <w:color w:val="auto"/>
          <w:sz w:val="24"/>
          <w:szCs w:val="24"/>
          <w:highlight w:val="none"/>
        </w:rPr>
        <w:t>技术评分细则（满分100分，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见下附表1）</w:t>
      </w:r>
    </w:p>
    <w:p w14:paraId="7E9AA9E5">
      <w:pPr>
        <w:spacing w:line="360" w:lineRule="auto"/>
        <w:ind w:firstLine="482" w:firstLineChars="200"/>
        <w:jc w:val="both"/>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技术评分表</w:t>
      </w:r>
    </w:p>
    <w:p w14:paraId="33563648">
      <w:pPr>
        <w:spacing w:line="360" w:lineRule="auto"/>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评分标准</w:t>
      </w:r>
    </w:p>
    <w:p w14:paraId="6264DB3C">
      <w:pPr>
        <w:spacing w:line="240" w:lineRule="auto"/>
        <w:jc w:val="center"/>
        <w:rPr>
          <w:rFonts w:hint="eastAsia" w:ascii="仿宋_GB2312" w:hAnsi="仿宋_GB2312" w:eastAsia="仿宋_GB2312" w:cs="仿宋_GB2312"/>
          <w:color w:val="auto"/>
          <w:sz w:val="24"/>
          <w:szCs w:val="24"/>
          <w:highlight w:val="none"/>
        </w:rPr>
      </w:pPr>
    </w:p>
    <w:tbl>
      <w:tblPr>
        <w:tblStyle w:val="8"/>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92"/>
        <w:gridCol w:w="1078"/>
        <w:gridCol w:w="7021"/>
      </w:tblGrid>
      <w:tr w14:paraId="1313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6BC4DFF9">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序号</w:t>
            </w:r>
          </w:p>
        </w:tc>
        <w:tc>
          <w:tcPr>
            <w:tcW w:w="790" w:type="pct"/>
            <w:noWrap w:val="0"/>
            <w:vAlign w:val="center"/>
          </w:tcPr>
          <w:p w14:paraId="32258A25">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评分项目</w:t>
            </w:r>
          </w:p>
        </w:tc>
        <w:tc>
          <w:tcPr>
            <w:tcW w:w="503" w:type="pct"/>
            <w:noWrap w:val="0"/>
            <w:vAlign w:val="center"/>
          </w:tcPr>
          <w:p w14:paraId="21274EB8">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标准分</w:t>
            </w:r>
          </w:p>
        </w:tc>
        <w:tc>
          <w:tcPr>
            <w:tcW w:w="3281" w:type="pct"/>
            <w:noWrap w:val="0"/>
            <w:vAlign w:val="center"/>
          </w:tcPr>
          <w:p w14:paraId="6C4F13B7">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评分标准</w:t>
            </w:r>
          </w:p>
        </w:tc>
      </w:tr>
      <w:tr w14:paraId="78D8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757D57AE">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w:t>
            </w:r>
          </w:p>
        </w:tc>
        <w:tc>
          <w:tcPr>
            <w:tcW w:w="790" w:type="pct"/>
            <w:noWrap w:val="0"/>
            <w:vAlign w:val="center"/>
          </w:tcPr>
          <w:p w14:paraId="2CD389F7">
            <w:pPr>
              <w:spacing w:line="240" w:lineRule="auto"/>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sz w:val="24"/>
              </w:rPr>
              <w:t>资质业绩</w:t>
            </w:r>
          </w:p>
        </w:tc>
        <w:tc>
          <w:tcPr>
            <w:tcW w:w="503" w:type="pct"/>
            <w:noWrap w:val="0"/>
            <w:vAlign w:val="center"/>
          </w:tcPr>
          <w:p w14:paraId="331CEC91">
            <w:pPr>
              <w:spacing w:line="240" w:lineRule="auto"/>
              <w:jc w:val="center"/>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30</w:t>
            </w:r>
          </w:p>
        </w:tc>
        <w:tc>
          <w:tcPr>
            <w:tcW w:w="3281" w:type="pct"/>
            <w:noWrap w:val="0"/>
            <w:vAlign w:val="center"/>
          </w:tcPr>
          <w:p w14:paraId="7F3FDD0C">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①</w:t>
            </w:r>
            <w:r>
              <w:rPr>
                <w:rFonts w:hint="eastAsia" w:ascii="仿宋_GB2312" w:hAnsi="仿宋_GB2312" w:eastAsia="仿宋_GB2312" w:cs="仿宋_GB2312"/>
                <w:color w:val="auto"/>
                <w:sz w:val="24"/>
              </w:rPr>
              <w:t>报价人在</w:t>
            </w:r>
            <w:r>
              <w:rPr>
                <w:rFonts w:hint="eastAsia" w:ascii="仿宋_GB2312" w:hAnsi="仿宋_GB2312" w:eastAsia="仿宋_GB2312" w:cs="仿宋_GB2312"/>
                <w:color w:val="auto"/>
                <w:sz w:val="24"/>
                <w:lang w:eastAsia="zh"/>
                <w:woUserID w:val="1"/>
              </w:rPr>
              <w:t>近</w:t>
            </w:r>
            <w:r>
              <w:rPr>
                <w:rFonts w:hint="eastAsia" w:ascii="仿宋_GB2312" w:hAnsi="仿宋_GB2312" w:eastAsia="仿宋_GB2312" w:cs="仿宋_GB2312"/>
                <w:color w:val="auto"/>
                <w:sz w:val="24"/>
              </w:rPr>
              <w:t>3年内（2022年1月至今）</w:t>
            </w:r>
            <w:r>
              <w:rPr>
                <w:rFonts w:hint="eastAsia" w:ascii="仿宋_GB2312" w:hAnsi="仿宋_GB2312" w:eastAsia="仿宋_GB2312" w:cs="仿宋_GB2312"/>
                <w:color w:val="auto"/>
                <w:sz w:val="24"/>
                <w:lang w:eastAsia="zh"/>
                <w:woUserID w:val="1"/>
              </w:rPr>
              <w:t>至少</w:t>
            </w:r>
            <w:r>
              <w:rPr>
                <w:rFonts w:hint="eastAsia" w:ascii="仿宋_GB2312" w:hAnsi="仿宋_GB2312" w:eastAsia="仿宋_GB2312" w:cs="仿宋_GB2312"/>
                <w:color w:val="auto"/>
                <w:sz w:val="24"/>
              </w:rPr>
              <w:t>具有1个感温光纤报警类似光纤感应类项目安装或改造（或总承包项目中包含安装或改造）业绩得基本分10分；</w:t>
            </w:r>
          </w:p>
          <w:p w14:paraId="6C790E0D">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②每增加一个感温光纤报警类似光纤感应类项目安装或改造（或总承包项目中包含安装或改造）业绩加5分；</w:t>
            </w:r>
          </w:p>
          <w:p w14:paraId="458AB1D8">
            <w:pPr>
              <w:spacing w:line="240" w:lineRule="auto"/>
              <w:jc w:val="left"/>
              <w:rPr>
                <w:rFonts w:hint="default"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color w:val="auto"/>
                <w:sz w:val="24"/>
              </w:rPr>
              <w:t>①+②不超30分。</w:t>
            </w:r>
          </w:p>
        </w:tc>
      </w:tr>
      <w:tr w14:paraId="12BD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07D3781E">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2</w:t>
            </w:r>
          </w:p>
        </w:tc>
        <w:tc>
          <w:tcPr>
            <w:tcW w:w="790" w:type="pct"/>
            <w:noWrap w:val="0"/>
            <w:vAlign w:val="center"/>
          </w:tcPr>
          <w:p w14:paraId="5EDA6938">
            <w:pPr>
              <w:spacing w:line="240" w:lineRule="auto"/>
              <w:jc w:val="center"/>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rPr>
              <w:t>改造方案</w:t>
            </w:r>
          </w:p>
        </w:tc>
        <w:tc>
          <w:tcPr>
            <w:tcW w:w="503" w:type="pct"/>
            <w:noWrap w:val="0"/>
            <w:vAlign w:val="center"/>
          </w:tcPr>
          <w:p w14:paraId="25C6F8E7">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30</w:t>
            </w:r>
          </w:p>
        </w:tc>
        <w:tc>
          <w:tcPr>
            <w:tcW w:w="3281" w:type="pct"/>
            <w:noWrap w:val="0"/>
            <w:vAlign w:val="center"/>
          </w:tcPr>
          <w:p w14:paraId="5DBE3325">
            <w:pPr>
              <w:rPr>
                <w:rFonts w:hint="default"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rPr>
              <w:t>根据报价人改造方案的内容清晰、严谨细致、专项说明、针对性、可操作性方面进行评审，优得21-30分；良得11-20分；差得1-10分。</w:t>
            </w:r>
          </w:p>
        </w:tc>
      </w:tr>
      <w:tr w14:paraId="0A05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3D8F5D87">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3</w:t>
            </w:r>
          </w:p>
        </w:tc>
        <w:tc>
          <w:tcPr>
            <w:tcW w:w="790" w:type="pct"/>
            <w:noWrap w:val="0"/>
            <w:vAlign w:val="center"/>
          </w:tcPr>
          <w:p w14:paraId="4BF33345">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设备供货指标、参数</w:t>
            </w:r>
          </w:p>
        </w:tc>
        <w:tc>
          <w:tcPr>
            <w:tcW w:w="503" w:type="pct"/>
            <w:noWrap w:val="0"/>
            <w:vAlign w:val="center"/>
          </w:tcPr>
          <w:p w14:paraId="21820A8C">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20</w:t>
            </w:r>
          </w:p>
        </w:tc>
        <w:tc>
          <w:tcPr>
            <w:tcW w:w="3281" w:type="pct"/>
            <w:noWrap w:val="0"/>
            <w:vAlign w:val="center"/>
          </w:tcPr>
          <w:p w14:paraId="19A266AC">
            <w:pPr>
              <w:spacing w:line="240" w:lineRule="auto"/>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sz w:val="24"/>
                <w:highlight w:val="none"/>
              </w:rPr>
              <w:t>根据报价人供货设备功能、性能参数、备品备件数量等进行横向比较评分，优得14-20分；良得7-13分；差得1-6分。</w:t>
            </w:r>
          </w:p>
        </w:tc>
      </w:tr>
      <w:tr w14:paraId="0053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53A96B80">
            <w:pPr>
              <w:spacing w:line="240" w:lineRule="auto"/>
              <w:jc w:val="center"/>
              <w:rPr>
                <w:rFonts w:hint="eastAsia" w:ascii="仿宋_GB2312" w:hAnsi="仿宋_GB2312" w:eastAsia="仿宋_GB2312" w:cs="仿宋_GB2312"/>
                <w:color w:val="auto"/>
                <w:sz w:val="24"/>
                <w:szCs w:val="24"/>
                <w:highlight w:val="none"/>
                <w:vertAlign w:val="baseline"/>
                <w:lang w:val="en-US" w:eastAsia="zh"/>
              </w:rPr>
            </w:pPr>
            <w:r>
              <w:rPr>
                <w:rFonts w:hint="eastAsia" w:ascii="仿宋_GB2312" w:hAnsi="仿宋_GB2312" w:eastAsia="仿宋_GB2312" w:cs="仿宋_GB2312"/>
                <w:color w:val="auto"/>
                <w:sz w:val="24"/>
                <w:szCs w:val="24"/>
                <w:highlight w:val="none"/>
                <w:vertAlign w:val="baseline"/>
                <w:lang w:val="en-US" w:eastAsia="zh"/>
              </w:rPr>
              <w:t>4</w:t>
            </w:r>
          </w:p>
        </w:tc>
        <w:tc>
          <w:tcPr>
            <w:tcW w:w="790" w:type="pct"/>
            <w:noWrap w:val="0"/>
            <w:vAlign w:val="center"/>
          </w:tcPr>
          <w:p w14:paraId="7DA433AF">
            <w:pPr>
              <w:spacing w:line="240" w:lineRule="auto"/>
              <w:jc w:val="center"/>
              <w:rPr>
                <w:rFonts w:hint="eastAsia" w:ascii="仿宋_GB2312" w:hAnsi="仿宋_GB2312" w:eastAsia="仿宋_GB2312" w:cs="仿宋_GB2312"/>
                <w:bCs w:val="0"/>
                <w:sz w:val="24"/>
                <w:szCs w:val="24"/>
                <w:lang w:eastAsia="zh-CN"/>
              </w:rPr>
            </w:pPr>
            <w:r>
              <w:rPr>
                <w:rFonts w:hint="eastAsia" w:ascii="仿宋_GB2312" w:hAnsi="仿宋_GB2312" w:eastAsia="仿宋_GB2312" w:cs="仿宋_GB2312"/>
                <w:sz w:val="24"/>
              </w:rPr>
              <w:t>质量保证及售后服务</w:t>
            </w:r>
          </w:p>
        </w:tc>
        <w:tc>
          <w:tcPr>
            <w:tcW w:w="503" w:type="pct"/>
            <w:noWrap w:val="0"/>
            <w:vAlign w:val="center"/>
          </w:tcPr>
          <w:p w14:paraId="685D69C6">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15</w:t>
            </w:r>
          </w:p>
        </w:tc>
        <w:tc>
          <w:tcPr>
            <w:tcW w:w="3281" w:type="pct"/>
            <w:noWrap w:val="0"/>
            <w:vAlign w:val="center"/>
          </w:tcPr>
          <w:p w14:paraId="6E2DC8E3">
            <w:pPr>
              <w:pStyle w:val="2"/>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color w:val="auto"/>
                <w:sz w:val="24"/>
              </w:rPr>
              <w:t>根据质量保证措施完善，售后、质保承诺等方面横向比较评分，优得11-15分；良得6-10分；差得1-5分。</w:t>
            </w:r>
          </w:p>
        </w:tc>
      </w:tr>
      <w:tr w14:paraId="09D5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4AC96130">
            <w:pPr>
              <w:spacing w:line="24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
              </w:rPr>
              <w:t>5</w:t>
            </w:r>
          </w:p>
        </w:tc>
        <w:tc>
          <w:tcPr>
            <w:tcW w:w="790" w:type="pct"/>
            <w:noWrap w:val="0"/>
            <w:vAlign w:val="center"/>
          </w:tcPr>
          <w:p w14:paraId="2A83ACE9">
            <w:pPr>
              <w:spacing w:line="240" w:lineRule="auto"/>
              <w:jc w:val="center"/>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sz w:val="24"/>
              </w:rPr>
              <w:t>对采购文件的响应程度及报价文件的完整规范性</w:t>
            </w:r>
          </w:p>
        </w:tc>
        <w:tc>
          <w:tcPr>
            <w:tcW w:w="503" w:type="pct"/>
            <w:noWrap w:val="0"/>
            <w:vAlign w:val="center"/>
          </w:tcPr>
          <w:p w14:paraId="7EAA6788">
            <w:pPr>
              <w:spacing w:line="24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w:t>
            </w:r>
          </w:p>
        </w:tc>
        <w:tc>
          <w:tcPr>
            <w:tcW w:w="3281" w:type="pct"/>
            <w:noWrap w:val="0"/>
            <w:vAlign w:val="center"/>
          </w:tcPr>
          <w:p w14:paraId="2637B9FB">
            <w:pPr>
              <w:spacing w:line="24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好    4-5分；</w:t>
            </w:r>
          </w:p>
          <w:p w14:paraId="232D8E89">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一般  1-3分。</w:t>
            </w:r>
          </w:p>
        </w:tc>
      </w:tr>
      <w:tr w14:paraId="5FF5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32C92E54">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790" w:type="pct"/>
            <w:noWrap w:val="0"/>
            <w:vAlign w:val="center"/>
          </w:tcPr>
          <w:p w14:paraId="29B87F19">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总分</w:t>
            </w:r>
          </w:p>
        </w:tc>
        <w:tc>
          <w:tcPr>
            <w:tcW w:w="503" w:type="pct"/>
            <w:noWrap w:val="0"/>
            <w:vAlign w:val="center"/>
          </w:tcPr>
          <w:p w14:paraId="47CFB7A4">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100</w:t>
            </w:r>
          </w:p>
        </w:tc>
        <w:tc>
          <w:tcPr>
            <w:tcW w:w="3281" w:type="pct"/>
            <w:noWrap w:val="0"/>
            <w:vAlign w:val="center"/>
          </w:tcPr>
          <w:p w14:paraId="2DB664AB">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r>
    </w:tbl>
    <w:p w14:paraId="4799FCB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
        </w:rPr>
        <w:t>技术</w:t>
      </w:r>
      <w:r>
        <w:rPr>
          <w:rFonts w:hint="eastAsia" w:ascii="仿宋_GB2312" w:hAnsi="仿宋_GB2312" w:eastAsia="仿宋_GB2312" w:cs="仿宋_GB2312"/>
          <w:color w:val="auto"/>
          <w:sz w:val="24"/>
          <w:szCs w:val="24"/>
          <w:highlight w:val="none"/>
        </w:rPr>
        <w:t>得分取</w:t>
      </w:r>
      <w:r>
        <w:rPr>
          <w:rFonts w:hint="eastAsia" w:ascii="仿宋_GB2312" w:hAnsi="仿宋_GB2312" w:eastAsia="仿宋_GB2312" w:cs="仿宋_GB2312"/>
          <w:color w:val="auto"/>
          <w:sz w:val="24"/>
          <w:szCs w:val="24"/>
          <w:highlight w:val="none"/>
          <w:lang w:eastAsia="zh"/>
        </w:rPr>
        <w:t>各</w:t>
      </w:r>
      <w:r>
        <w:rPr>
          <w:rFonts w:hint="eastAsia" w:ascii="仿宋_GB2312" w:hAnsi="仿宋_GB2312" w:eastAsia="仿宋_GB2312" w:cs="仿宋_GB2312"/>
          <w:color w:val="auto"/>
          <w:sz w:val="24"/>
          <w:szCs w:val="24"/>
          <w:highlight w:val="none"/>
          <w:lang w:eastAsia="zh-CN"/>
        </w:rPr>
        <w:t>评审专家</w:t>
      </w:r>
      <w:r>
        <w:rPr>
          <w:rFonts w:hint="eastAsia" w:ascii="仿宋_GB2312" w:hAnsi="仿宋_GB2312" w:eastAsia="仿宋_GB2312" w:cs="仿宋_GB2312"/>
          <w:color w:val="auto"/>
          <w:sz w:val="24"/>
          <w:szCs w:val="24"/>
          <w:highlight w:val="none"/>
          <w:lang w:eastAsia="zh"/>
        </w:rPr>
        <w:t>所评审的技术总分</w:t>
      </w:r>
      <w:r>
        <w:rPr>
          <w:rFonts w:hint="eastAsia" w:ascii="仿宋_GB2312" w:hAnsi="仿宋_GB2312" w:eastAsia="仿宋_GB2312" w:cs="仿宋_GB2312"/>
          <w:color w:val="auto"/>
          <w:sz w:val="24"/>
          <w:szCs w:val="24"/>
          <w:highlight w:val="none"/>
        </w:rPr>
        <w:t>的算术平均值；计分保留至小数点后两位。</w:t>
      </w:r>
    </w:p>
    <w:p w14:paraId="2B56C7D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报价评分（满分100分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0.6</w:t>
      </w:r>
      <w:r>
        <w:rPr>
          <w:rFonts w:hint="eastAsia" w:ascii="仿宋_GB2312" w:hAnsi="仿宋_GB2312" w:eastAsia="仿宋_GB2312" w:cs="仿宋_GB2312"/>
          <w:color w:val="auto"/>
          <w:sz w:val="24"/>
          <w:szCs w:val="24"/>
          <w:highlight w:val="none"/>
        </w:rPr>
        <w:t>）</w:t>
      </w:r>
    </w:p>
    <w:p w14:paraId="60C4B91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.1确定评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价（以</w:t>
      </w:r>
      <w:r>
        <w:rPr>
          <w:rFonts w:hint="eastAsia" w:ascii="仿宋_GB2312" w:hAnsi="仿宋_GB2312" w:eastAsia="仿宋_GB2312" w:cs="仿宋_GB2312"/>
          <w:color w:val="auto"/>
          <w:sz w:val="24"/>
          <w:szCs w:val="24"/>
          <w:highlight w:val="none"/>
          <w:lang w:eastAsia="zh-CN"/>
        </w:rPr>
        <w:t>综合含税</w:t>
      </w:r>
      <w:r>
        <w:rPr>
          <w:rFonts w:hint="eastAsia" w:ascii="仿宋_GB2312" w:hAnsi="仿宋_GB2312" w:eastAsia="仿宋_GB2312" w:cs="仿宋_GB2312"/>
          <w:color w:val="auto"/>
          <w:sz w:val="24"/>
          <w:szCs w:val="24"/>
          <w:highlight w:val="none"/>
        </w:rPr>
        <w:t>总价为评</w:t>
      </w:r>
      <w:r>
        <w:rPr>
          <w:rFonts w:hint="eastAsia" w:ascii="仿宋_GB2312" w:hAnsi="仿宋_GB2312" w:eastAsia="仿宋_GB2312" w:cs="仿宋_GB2312"/>
          <w:color w:val="auto"/>
          <w:sz w:val="24"/>
          <w:szCs w:val="24"/>
          <w:highlight w:val="none"/>
          <w:lang w:eastAsia="zh-CN"/>
        </w:rPr>
        <w:t>审价</w:t>
      </w:r>
      <w:r>
        <w:rPr>
          <w:rFonts w:hint="eastAsia" w:ascii="仿宋_GB2312" w:hAnsi="仿宋_GB2312" w:eastAsia="仿宋_GB2312" w:cs="仿宋_GB2312"/>
          <w:color w:val="auto"/>
          <w:sz w:val="24"/>
          <w:szCs w:val="24"/>
          <w:highlight w:val="none"/>
        </w:rPr>
        <w:t>）</w:t>
      </w:r>
    </w:p>
    <w:p w14:paraId="6ACB7031">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价为经</w:t>
      </w:r>
      <w:r>
        <w:rPr>
          <w:rFonts w:hint="eastAsia" w:ascii="仿宋_GB2312" w:hAnsi="仿宋_GB2312" w:eastAsia="仿宋_GB2312" w:cs="仿宋_GB2312"/>
          <w:color w:val="auto"/>
          <w:sz w:val="24"/>
          <w:szCs w:val="24"/>
          <w:highlight w:val="none"/>
          <w:lang w:eastAsia="zh-CN"/>
        </w:rPr>
        <w:t>协商谈判</w:t>
      </w:r>
      <w:r>
        <w:rPr>
          <w:rFonts w:hint="eastAsia" w:ascii="仿宋_GB2312" w:hAnsi="仿宋_GB2312" w:eastAsia="仿宋_GB2312" w:cs="仿宋_GB2312"/>
          <w:color w:val="auto"/>
          <w:sz w:val="24"/>
          <w:szCs w:val="24"/>
          <w:highlight w:val="none"/>
        </w:rPr>
        <w:t>调整后的</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综合含税总</w:t>
      </w:r>
      <w:r>
        <w:rPr>
          <w:rFonts w:hint="eastAsia" w:ascii="仿宋_GB2312" w:hAnsi="仿宋_GB2312" w:eastAsia="仿宋_GB2312" w:cs="仿宋_GB2312"/>
          <w:color w:val="auto"/>
          <w:sz w:val="24"/>
          <w:szCs w:val="24"/>
          <w:highlight w:val="none"/>
        </w:rPr>
        <w:t>报价。</w:t>
      </w:r>
    </w:p>
    <w:p w14:paraId="74DFF80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14:paraId="2243594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（1）若因税金不一致，则在评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时修正到同一个标准。</w:t>
      </w:r>
    </w:p>
    <w:p w14:paraId="45383BB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价仅作为评审时将各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报价调整到同一水平，以便进行比较，中选后合同价仍然为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w:t>
      </w:r>
    </w:p>
    <w:p w14:paraId="63E4170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.2 报价得分</w:t>
      </w:r>
    </w:p>
    <w:p w14:paraId="3032608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报价人报价中</w:t>
      </w:r>
      <w:r>
        <w:rPr>
          <w:rFonts w:hint="eastAsia" w:ascii="仿宋_GB2312" w:hAnsi="仿宋_GB2312" w:eastAsia="仿宋_GB2312" w:cs="仿宋_GB2312"/>
          <w:color w:val="auto"/>
          <w:sz w:val="24"/>
          <w:szCs w:val="24"/>
          <w:highlight w:val="none"/>
        </w:rPr>
        <w:t>的最低价</w:t>
      </w:r>
      <w:r>
        <w:rPr>
          <w:rFonts w:hint="eastAsia" w:ascii="仿宋_GB2312" w:hAnsi="仿宋_GB2312" w:eastAsia="仿宋_GB2312" w:cs="仿宋_GB2312"/>
          <w:color w:val="auto"/>
          <w:sz w:val="24"/>
          <w:szCs w:val="24"/>
          <w:highlight w:val="none"/>
          <w:lang w:eastAsia="zh-CN"/>
        </w:rPr>
        <w:t>为有效最低评审价，</w:t>
      </w:r>
      <w:r>
        <w:rPr>
          <w:rFonts w:hint="eastAsia" w:ascii="仿宋_GB2312" w:hAnsi="仿宋_GB2312" w:eastAsia="仿宋_GB2312" w:cs="仿宋_GB2312"/>
          <w:color w:val="auto"/>
          <w:sz w:val="24"/>
          <w:szCs w:val="24"/>
          <w:highlight w:val="none"/>
        </w:rPr>
        <w:t>得分为100分。</w:t>
      </w:r>
      <w:r>
        <w:rPr>
          <w:rFonts w:hint="eastAsia" w:ascii="仿宋_GB2312" w:hAnsi="仿宋_GB2312" w:eastAsia="仿宋_GB2312" w:cs="仿宋_GB2312"/>
          <w:color w:val="auto"/>
          <w:sz w:val="24"/>
          <w:szCs w:val="24"/>
          <w:highlight w:val="none"/>
          <w:lang w:eastAsia="zh-CN"/>
        </w:rPr>
        <w:t>其他报价人</w:t>
      </w:r>
      <w:r>
        <w:rPr>
          <w:rFonts w:hint="eastAsia" w:ascii="仿宋_GB2312" w:hAnsi="仿宋_GB2312" w:eastAsia="仿宋_GB2312" w:cs="仿宋_GB2312"/>
          <w:color w:val="auto"/>
          <w:sz w:val="24"/>
          <w:szCs w:val="24"/>
          <w:highlight w:val="none"/>
        </w:rPr>
        <w:t>的评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价高于有效最低评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价，每高1%扣0.5分，扣完为止。计算分值时保留小数点后二位。</w:t>
      </w:r>
    </w:p>
    <w:p w14:paraId="322BC6B1">
      <w:pPr>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报价得分＝100-[(评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 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价×100]×0.5。</w:t>
      </w:r>
    </w:p>
    <w:p w14:paraId="1FB0C083">
      <w:pPr>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综合评分</w:t>
      </w:r>
    </w:p>
    <w:p w14:paraId="53CB431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满分为100分，其中技术</w:t>
      </w:r>
      <w:r>
        <w:rPr>
          <w:rFonts w:hint="eastAsia" w:ascii="仿宋_GB2312" w:hAnsi="仿宋_GB2312" w:eastAsia="仿宋_GB2312" w:cs="仿宋_GB2312"/>
          <w:color w:val="auto"/>
          <w:sz w:val="24"/>
          <w:szCs w:val="24"/>
          <w:highlight w:val="none"/>
          <w:lang w:eastAsia="zh-CN"/>
        </w:rPr>
        <w:t>得</w:t>
      </w:r>
      <w:r>
        <w:rPr>
          <w:rFonts w:hint="eastAsia" w:ascii="仿宋_GB2312" w:hAnsi="仿宋_GB2312" w:eastAsia="仿宋_GB2312" w:cs="仿宋_GB2312"/>
          <w:color w:val="auto"/>
          <w:sz w:val="24"/>
          <w:szCs w:val="24"/>
          <w:highlight w:val="none"/>
        </w:rPr>
        <w:t>分权重为0.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0；报价</w:t>
      </w:r>
      <w:r>
        <w:rPr>
          <w:rFonts w:hint="eastAsia" w:ascii="仿宋_GB2312" w:hAnsi="仿宋_GB2312" w:eastAsia="仿宋_GB2312" w:cs="仿宋_GB2312"/>
          <w:color w:val="auto"/>
          <w:sz w:val="24"/>
          <w:szCs w:val="24"/>
          <w:highlight w:val="none"/>
          <w:lang w:eastAsia="zh-CN"/>
        </w:rPr>
        <w:t>得分</w:t>
      </w:r>
      <w:r>
        <w:rPr>
          <w:rFonts w:hint="eastAsia" w:ascii="仿宋_GB2312" w:hAnsi="仿宋_GB2312" w:eastAsia="仿宋_GB2312" w:cs="仿宋_GB2312"/>
          <w:color w:val="auto"/>
          <w:sz w:val="24"/>
          <w:szCs w:val="24"/>
          <w:highlight w:val="none"/>
        </w:rPr>
        <w:t>权重为0.</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0。</w:t>
      </w:r>
    </w:p>
    <w:p w14:paraId="5336DFF3">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
        </w:rPr>
        <w:t>报价</w:t>
      </w:r>
      <w:r>
        <w:rPr>
          <w:rFonts w:hint="eastAsia" w:ascii="仿宋_GB2312" w:hAnsi="仿宋_GB2312" w:eastAsia="仿宋_GB2312" w:cs="仿宋_GB2312"/>
          <w:color w:val="auto"/>
          <w:sz w:val="24"/>
          <w:szCs w:val="24"/>
          <w:highlight w:val="none"/>
        </w:rPr>
        <w:t>单位综合得分=技术得分×0.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+报价得分×0.</w:t>
      </w:r>
      <w:r>
        <w:rPr>
          <w:rFonts w:hint="eastAsia" w:ascii="仿宋_GB2312" w:hAnsi="仿宋_GB2312" w:eastAsia="仿宋_GB2312" w:cs="仿宋_GB2312"/>
          <w:color w:val="auto"/>
          <w:sz w:val="24"/>
          <w:szCs w:val="24"/>
          <w:highlight w:val="none"/>
          <w:lang w:val="en-US" w:eastAsia="zh-CN"/>
        </w:rPr>
        <w:t>6</w:t>
      </w:r>
    </w:p>
    <w:p w14:paraId="204459B8">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5</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eastAsia="zh-CN"/>
        </w:rPr>
        <w:t>中选规则</w:t>
      </w:r>
    </w:p>
    <w:p w14:paraId="00DB2272">
      <w:pPr>
        <w:keepNext w:val="0"/>
        <w:keepLines w:val="0"/>
        <w:widowControl/>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5.1</w:t>
      </w:r>
      <w:r>
        <w:rPr>
          <w:rFonts w:hint="eastAsia" w:ascii="仿宋_GB2312" w:hAnsi="仿宋_GB2312" w:eastAsia="仿宋_GB2312" w:cs="仿宋_GB2312"/>
          <w:color w:val="auto"/>
          <w:sz w:val="24"/>
          <w:szCs w:val="24"/>
          <w:highlight w:val="none"/>
        </w:rPr>
        <w:t>评审小组根据综合得分情况按得分高低进行排序</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并推荐</w:t>
      </w:r>
      <w:r>
        <w:rPr>
          <w:rFonts w:hint="eastAsia" w:ascii="仿宋_GB2312" w:hAnsi="仿宋_GB2312" w:eastAsia="仿宋_GB2312" w:cs="仿宋_GB2312"/>
          <w:color w:val="auto"/>
          <w:sz w:val="24"/>
          <w:szCs w:val="24"/>
          <w:highlight w:val="none"/>
          <w:lang w:eastAsia="zh-CN"/>
        </w:rPr>
        <w:t>综合</w:t>
      </w:r>
      <w:r>
        <w:rPr>
          <w:rFonts w:hint="eastAsia" w:ascii="仿宋_GB2312" w:hAnsi="仿宋_GB2312" w:eastAsia="仿宋_GB2312" w:cs="仿宋_GB2312"/>
          <w:color w:val="auto"/>
          <w:sz w:val="24"/>
          <w:szCs w:val="24"/>
          <w:highlight w:val="none"/>
        </w:rPr>
        <w:t>得分第一</w:t>
      </w:r>
      <w:r>
        <w:rPr>
          <w:rFonts w:hint="eastAsia" w:ascii="仿宋_GB2312" w:hAnsi="仿宋_GB2312" w:eastAsia="仿宋_GB2312" w:cs="仿宋_GB2312"/>
          <w:color w:val="auto"/>
          <w:sz w:val="24"/>
          <w:szCs w:val="24"/>
          <w:highlight w:val="none"/>
          <w:lang w:eastAsia="zh-CN"/>
        </w:rPr>
        <w:t>的作为中选</w:t>
      </w:r>
      <w:r>
        <w:rPr>
          <w:rFonts w:hint="eastAsia" w:ascii="仿宋_GB2312" w:hAnsi="仿宋_GB2312" w:eastAsia="仿宋_GB2312" w:cs="仿宋_GB2312"/>
          <w:color w:val="auto"/>
          <w:sz w:val="24"/>
          <w:szCs w:val="24"/>
          <w:highlight w:val="none"/>
        </w:rPr>
        <w:t>候选人，</w:t>
      </w:r>
      <w:r>
        <w:rPr>
          <w:rFonts w:hint="eastAsia" w:ascii="仿宋_GB2312" w:hAnsi="仿宋_GB2312" w:eastAsia="仿宋_GB2312" w:cs="仿宋_GB2312"/>
          <w:color w:val="auto"/>
          <w:sz w:val="24"/>
          <w:szCs w:val="24"/>
          <w:highlight w:val="none"/>
          <w:lang w:eastAsia="zh-CN"/>
        </w:rPr>
        <w:t>中选候选人经采购人同意，为本项目中选人，中选人应按照</w:t>
      </w:r>
      <w:r>
        <w:rPr>
          <w:rFonts w:hint="eastAsia" w:ascii="仿宋_GB2312" w:hAnsi="Calibri" w:eastAsia="仿宋_GB2312" w:cs="仿宋_GB2312"/>
          <w:kern w:val="2"/>
          <w:sz w:val="24"/>
          <w:szCs w:val="24"/>
          <w:lang w:val="en-US" w:eastAsia="zh-CN" w:bidi="ar"/>
          <w:woUserID w:val="1"/>
        </w:rPr>
        <w:t>竞争性谈判</w:t>
      </w:r>
      <w:r>
        <w:rPr>
          <w:rFonts w:hint="eastAsia" w:ascii="仿宋_GB2312" w:hAnsi="仿宋_GB2312" w:eastAsia="仿宋_GB2312" w:cs="仿宋_GB2312"/>
          <w:color w:val="auto"/>
          <w:sz w:val="24"/>
          <w:szCs w:val="24"/>
          <w:highlight w:val="none"/>
          <w:lang w:eastAsia="zh-CN"/>
        </w:rPr>
        <w:t>文件实质性内容</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签订</w:t>
      </w:r>
      <w:r>
        <w:rPr>
          <w:rFonts w:hint="eastAsia" w:ascii="仿宋_GB2312" w:hAnsi="仿宋_GB2312" w:eastAsia="仿宋_GB2312" w:cs="仿宋_GB2312"/>
          <w:color w:val="auto"/>
          <w:sz w:val="24"/>
          <w:szCs w:val="24"/>
          <w:highlight w:val="none"/>
          <w:lang w:eastAsia="zh-CN"/>
        </w:rPr>
        <w:t>本项目</w:t>
      </w:r>
      <w:r>
        <w:rPr>
          <w:rFonts w:hint="eastAsia" w:ascii="仿宋_GB2312" w:hAnsi="仿宋_GB2312" w:eastAsia="仿宋_GB2312" w:cs="仿宋_GB2312"/>
          <w:color w:val="auto"/>
          <w:sz w:val="24"/>
          <w:szCs w:val="24"/>
          <w:highlight w:val="none"/>
        </w:rPr>
        <w:t>书面合同。</w:t>
      </w:r>
    </w:p>
    <w:p w14:paraId="7B3120F0">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w:t>
      </w:r>
      <w:r>
        <w:rPr>
          <w:rFonts w:hint="eastAsia" w:ascii="仿宋_GB2312" w:hAnsi="仿宋_GB2312" w:eastAsia="仿宋_GB2312" w:cs="仿宋_GB2312"/>
          <w:color w:val="auto"/>
          <w:sz w:val="24"/>
          <w:szCs w:val="24"/>
          <w:highlight w:val="none"/>
        </w:rPr>
        <w:t>若</w:t>
      </w:r>
      <w:r>
        <w:rPr>
          <w:rFonts w:hint="eastAsia" w:ascii="仿宋_GB2312" w:hAnsi="仿宋_GB2312" w:eastAsia="仿宋_GB2312" w:cs="仿宋_GB2312"/>
          <w:color w:val="auto"/>
          <w:sz w:val="24"/>
          <w:szCs w:val="24"/>
          <w:highlight w:val="none"/>
          <w:lang w:eastAsia="zh-CN"/>
        </w:rPr>
        <w:t>中选人未在采购人发出中选通知书之日起的</w:t>
      </w:r>
      <w:r>
        <w:rPr>
          <w:rFonts w:hint="eastAsia" w:ascii="仿宋_GB2312" w:hAnsi="仿宋_GB2312" w:eastAsia="仿宋_GB2312" w:cs="仿宋_GB2312"/>
          <w:color w:val="auto"/>
          <w:sz w:val="24"/>
          <w:szCs w:val="24"/>
          <w:highlight w:val="none"/>
          <w:lang w:val="en-US" w:eastAsia="zh-CN"/>
        </w:rPr>
        <w:t>30日内按照</w:t>
      </w:r>
      <w:r>
        <w:rPr>
          <w:rFonts w:hint="eastAsia" w:ascii="仿宋_GB2312" w:hAnsi="仿宋_GB2312" w:eastAsia="仿宋_GB2312" w:cs="仿宋_GB2312"/>
          <w:color w:val="auto"/>
          <w:sz w:val="24"/>
          <w:szCs w:val="24"/>
          <w:highlight w:val="none"/>
          <w:lang w:val="en-US" w:eastAsia="zh"/>
        </w:rPr>
        <w:t>报价</w:t>
      </w:r>
      <w:r>
        <w:rPr>
          <w:rFonts w:hint="eastAsia" w:ascii="仿宋_GB2312" w:hAnsi="仿宋_GB2312" w:eastAsia="仿宋_GB2312" w:cs="仿宋_GB2312"/>
          <w:color w:val="auto"/>
          <w:sz w:val="24"/>
          <w:szCs w:val="24"/>
          <w:highlight w:val="none"/>
          <w:lang w:val="en-US" w:eastAsia="zh-CN"/>
        </w:rPr>
        <w:t>文件实质性内容完成合同签订</w:t>
      </w:r>
      <w:r>
        <w:rPr>
          <w:rFonts w:hint="eastAsia" w:ascii="仿宋_GB2312" w:hAnsi="仿宋_GB2312" w:eastAsia="仿宋_GB2312" w:cs="仿宋_GB2312"/>
          <w:color w:val="auto"/>
          <w:sz w:val="24"/>
          <w:szCs w:val="24"/>
          <w:highlight w:val="none"/>
          <w:lang w:val="en-US" w:eastAsia="zh"/>
        </w:rPr>
        <w:t>或自愿放弃中选资格或因</w:t>
      </w:r>
      <w:r>
        <w:rPr>
          <w:rFonts w:hint="eastAsia" w:ascii="仿宋_GB2312" w:hAnsi="仿宋_GB2312" w:eastAsia="仿宋_GB2312" w:cs="仿宋_GB2312"/>
          <w:color w:val="auto"/>
          <w:sz w:val="24"/>
          <w:szCs w:val="24"/>
          <w:highlight w:val="none"/>
          <w:lang w:val="en-US" w:eastAsia="zh-CN"/>
        </w:rPr>
        <w:t>未按时提交履约保证金被采购人通知解除合同的，采购人有权取消其中选资格</w:t>
      </w:r>
      <w:r>
        <w:rPr>
          <w:rFonts w:hint="default" w:ascii="仿宋_GB2312" w:hAnsi="仿宋_GB2312" w:eastAsia="仿宋_GB2312" w:cs="仿宋_GB2312"/>
          <w:sz w:val="24"/>
          <w:szCs w:val="24"/>
          <w:highlight w:val="none"/>
          <w:lang w:val="en-US" w:eastAsia="zh-CN"/>
        </w:rPr>
        <w:t>，已收取的</w:t>
      </w:r>
      <w:r>
        <w:rPr>
          <w:rFonts w:hint="eastAsia" w:ascii="仿宋_GB2312" w:hAnsi="仿宋_GB2312" w:eastAsia="仿宋_GB2312" w:cs="仿宋_GB2312"/>
          <w:sz w:val="24"/>
          <w:szCs w:val="24"/>
          <w:highlight w:val="none"/>
          <w:lang w:val="en-US" w:eastAsia="zh"/>
        </w:rPr>
        <w:t>报价</w:t>
      </w:r>
      <w:r>
        <w:rPr>
          <w:rFonts w:hint="default" w:ascii="仿宋_GB2312" w:hAnsi="仿宋_GB2312" w:eastAsia="仿宋_GB2312" w:cs="仿宋_GB2312"/>
          <w:sz w:val="24"/>
          <w:szCs w:val="24"/>
          <w:highlight w:val="none"/>
          <w:lang w:val="en-US" w:eastAsia="zh-CN"/>
        </w:rPr>
        <w:t>保证金不予退还</w:t>
      </w:r>
      <w:r>
        <w:rPr>
          <w:rFonts w:hint="eastAsia" w:ascii="仿宋_GB2312" w:hAnsi="仿宋_GB2312" w:eastAsia="仿宋_GB2312" w:cs="仿宋_GB2312"/>
          <w:color w:val="auto"/>
          <w:sz w:val="24"/>
          <w:szCs w:val="24"/>
          <w:highlight w:val="none"/>
          <w:lang w:val="en-US" w:eastAsia="zh-CN"/>
        </w:rPr>
        <w:t>。</w:t>
      </w:r>
    </w:p>
    <w:p w14:paraId="5A29D6C3">
      <w:pPr>
        <w:pStyle w:val="11"/>
        <w:numPr>
          <w:ilvl w:val="0"/>
          <w:numId w:val="0"/>
        </w:numPr>
        <w:spacing w:line="360" w:lineRule="auto"/>
        <w:ind w:firstLine="52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5.3报价文件有效期内，采购人按照</w:t>
      </w:r>
      <w:r>
        <w:rPr>
          <w:rFonts w:hint="eastAsia" w:ascii="仿宋_GB2312" w:hAnsi="仿宋_GB2312" w:eastAsia="仿宋_GB2312" w:cs="仿宋_GB2312"/>
          <w:color w:val="auto"/>
          <w:sz w:val="24"/>
          <w:szCs w:val="24"/>
          <w:highlight w:val="none"/>
          <w:lang w:val="en-US" w:eastAsia="zh"/>
          <w:woUserID w:val="1"/>
        </w:rPr>
        <w:t>竞争性谈判</w:t>
      </w:r>
      <w:r>
        <w:rPr>
          <w:rFonts w:hint="eastAsia" w:ascii="仿宋_GB2312" w:hAnsi="仿宋_GB2312" w:eastAsia="仿宋_GB2312" w:cs="仿宋_GB2312"/>
          <w:color w:val="auto"/>
          <w:sz w:val="24"/>
          <w:szCs w:val="24"/>
          <w:highlight w:val="none"/>
          <w:lang w:val="en-US" w:eastAsia="zh-CN"/>
        </w:rPr>
        <w:t>文件要求取消中选人资格</w:t>
      </w:r>
      <w:r>
        <w:rPr>
          <w:rFonts w:hint="eastAsia" w:ascii="仿宋_GB2312" w:hAnsi="仿宋_GB2312" w:eastAsia="仿宋_GB2312" w:cs="仿宋_GB2312"/>
          <w:color w:val="auto"/>
          <w:sz w:val="24"/>
          <w:szCs w:val="24"/>
          <w:highlight w:val="none"/>
          <w:lang w:val="en-US" w:eastAsia="zh"/>
        </w:rPr>
        <w:t>或</w:t>
      </w:r>
      <w:r>
        <w:rPr>
          <w:rFonts w:hint="eastAsia" w:ascii="仿宋_GB2312" w:hAnsi="仿宋_GB2312" w:eastAsia="仿宋_GB2312" w:cs="仿宋_GB2312"/>
          <w:color w:val="auto"/>
          <w:sz w:val="24"/>
          <w:szCs w:val="24"/>
          <w:highlight w:val="none"/>
          <w:lang w:val="en-US" w:eastAsia="zh-CN"/>
        </w:rPr>
        <w:t>中选人</w:t>
      </w:r>
      <w:r>
        <w:rPr>
          <w:rFonts w:hint="eastAsia" w:ascii="仿宋_GB2312" w:hAnsi="仿宋_GB2312" w:eastAsia="仿宋_GB2312" w:cs="仿宋_GB2312"/>
          <w:color w:val="auto"/>
          <w:sz w:val="24"/>
          <w:szCs w:val="24"/>
          <w:highlight w:val="none"/>
          <w:lang w:val="en-US" w:eastAsia="zh"/>
        </w:rPr>
        <w:t>因</w:t>
      </w:r>
      <w:r>
        <w:rPr>
          <w:rFonts w:hint="eastAsia" w:ascii="仿宋_GB2312" w:hAnsi="仿宋_GB2312" w:eastAsia="仿宋_GB2312" w:cs="仿宋_GB2312"/>
          <w:color w:val="auto"/>
          <w:sz w:val="24"/>
          <w:szCs w:val="24"/>
          <w:highlight w:val="none"/>
          <w:lang w:val="en-US" w:eastAsia="zh-CN"/>
        </w:rPr>
        <w:t>未按时提交履约保证金被采购人通知解除合同的，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有权根据自身情况按照排序与下一顺位</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签订书面合同或重新组织采购。</w:t>
      </w:r>
    </w:p>
    <w:p w14:paraId="0BFDDB55">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1A2547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73468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E5D0A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216DE5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06C161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1D42F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F6E5FA2">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0B8D9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09AC4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24BACF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0715B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9685A3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A3C3A2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28FE96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059013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3E039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3BA96E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CD04A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CA8EA2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84A0FB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C911BF2">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7951C3B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B1F9D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AFBCF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61BBCF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7612F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00E51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F3CF075">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燃油库房#1、#2储油罐感温光纤报警系统改造项目</w:t>
      </w:r>
    </w:p>
    <w:p w14:paraId="3974501B">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20F7974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6277B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ED731F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AFAEC2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245F76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53DE93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E296EB">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61C27838">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66F7D309">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2C0A53FF">
      <w:pPr>
        <w:rPr>
          <w:rFonts w:hint="eastAsia"/>
          <w:lang w:eastAsia="zh-CN"/>
        </w:rPr>
      </w:pPr>
    </w:p>
    <w:p w14:paraId="2844419C">
      <w:pPr>
        <w:pStyle w:val="2"/>
        <w:rPr>
          <w:rFonts w:hint="eastAsia"/>
          <w:lang w:eastAsia="zh-CN"/>
        </w:rPr>
      </w:pPr>
    </w:p>
    <w:p w14:paraId="76E52B1F">
      <w:pPr>
        <w:pStyle w:val="2"/>
        <w:rPr>
          <w:rFonts w:hint="eastAsia"/>
          <w:lang w:eastAsia="zh-CN"/>
        </w:rPr>
      </w:pPr>
    </w:p>
    <w:p w14:paraId="43877B3E">
      <w:pPr>
        <w:rPr>
          <w:rFonts w:hint="eastAsia"/>
          <w:lang w:eastAsia="zh-CN"/>
        </w:rPr>
      </w:pPr>
    </w:p>
    <w:p w14:paraId="1E4CF910">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49A05B0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D49CC6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p>
    <w:p w14:paraId="4D44B70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64EEB16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3093DB5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2.业绩证明文件</w:t>
      </w:r>
    </w:p>
    <w:p w14:paraId="2AA7D215">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3.国家企业信用信息公示系统（www.creditchina.gov.cn）企业信用报告或截图</w:t>
      </w:r>
    </w:p>
    <w:p w14:paraId="5E3DEEB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4.项目报价表及报价明细表（格式详见附件1）</w:t>
      </w:r>
    </w:p>
    <w:p w14:paraId="1DA569A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5.法定代表人身份证明（格式详见附件2）</w:t>
      </w:r>
    </w:p>
    <w:p w14:paraId="5CF45EFE">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6.授权委托书（格式详见附件3）</w:t>
      </w:r>
    </w:p>
    <w:p w14:paraId="576BCB7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7.承诺书（格式见附件4）</w:t>
      </w:r>
    </w:p>
    <w:p w14:paraId="7C8A2784">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8.资格声明函（格式见附件5）</w:t>
      </w:r>
    </w:p>
    <w:p w14:paraId="29E9EA19">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9.改造方案</w:t>
      </w:r>
    </w:p>
    <w:p w14:paraId="12A7CF5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10.质量保证措施及售后承诺</w:t>
      </w:r>
    </w:p>
    <w:p w14:paraId="4542A46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11.供货范围表（格式件附件6）</w:t>
      </w:r>
    </w:p>
    <w:p w14:paraId="25F00BFD">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12.（报价人提交的其他资料）</w:t>
      </w:r>
    </w:p>
    <w:p w14:paraId="62F0E61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44EEDF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5C225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D029D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2C7B7A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E2759D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5CFBE81">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73DA7359">
      <w:pPr>
        <w:rPr>
          <w:rFonts w:hint="eastAsia" w:ascii="仿宋_GB2312" w:hAnsi="仿宋_GB2312" w:eastAsia="仿宋_GB2312" w:cs="仿宋_GB2312"/>
          <w:b/>
          <w:bCs/>
          <w:color w:val="auto"/>
          <w:sz w:val="24"/>
          <w:szCs w:val="24"/>
          <w:highlight w:val="none"/>
          <w:lang w:eastAsia="zh-CN"/>
        </w:rPr>
      </w:pPr>
    </w:p>
    <w:p w14:paraId="3AA2CB4A">
      <w:pPr>
        <w:rPr>
          <w:rFonts w:hint="eastAsia" w:ascii="仿宋_GB2312" w:hAnsi="仿宋_GB2312" w:eastAsia="仿宋_GB2312" w:cs="仿宋_GB2312"/>
          <w:b/>
          <w:bCs/>
          <w:color w:val="auto"/>
          <w:sz w:val="24"/>
          <w:szCs w:val="24"/>
          <w:highlight w:val="none"/>
          <w:lang w:eastAsia="zh-CN"/>
        </w:rPr>
      </w:pPr>
    </w:p>
    <w:p w14:paraId="1C29FA02">
      <w:pPr>
        <w:rPr>
          <w:rFonts w:hint="eastAsia" w:ascii="仿宋_GB2312" w:hAnsi="仿宋_GB2312" w:eastAsia="仿宋_GB2312" w:cs="仿宋_GB2312"/>
          <w:b/>
          <w:bCs/>
          <w:color w:val="auto"/>
          <w:sz w:val="24"/>
          <w:szCs w:val="24"/>
          <w:highlight w:val="none"/>
          <w:lang w:eastAsia="zh-CN"/>
        </w:rPr>
      </w:pPr>
    </w:p>
    <w:p w14:paraId="6B9E9014">
      <w:pPr>
        <w:rPr>
          <w:rFonts w:hint="eastAsia" w:ascii="仿宋_GB2312" w:hAnsi="仿宋_GB2312" w:eastAsia="仿宋_GB2312" w:cs="仿宋_GB2312"/>
          <w:b/>
          <w:bCs/>
          <w:color w:val="auto"/>
          <w:sz w:val="24"/>
          <w:szCs w:val="24"/>
          <w:highlight w:val="none"/>
          <w:lang w:eastAsia="zh-CN"/>
        </w:rPr>
      </w:pPr>
    </w:p>
    <w:p w14:paraId="006130F8">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70EFDB3">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2D02E02D">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26F4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0B7F62CC">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24A8A26D">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4750DF8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2D9A61A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72218FA2">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77502A56">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5F89353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4B98C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58ED44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燃油库房#1、#2储油罐感温光纤报警系统改造</w:t>
            </w:r>
            <w:r>
              <w:rPr>
                <w:rFonts w:hint="eastAsia" w:ascii="仿宋_GB2312" w:hAnsi="仿宋_GB2312" w:eastAsia="仿宋_GB2312" w:cs="仿宋_GB2312"/>
                <w:bCs/>
                <w:color w:val="auto"/>
                <w:sz w:val="24"/>
                <w:highlight w:val="none"/>
                <w:lang w:val="en-US" w:eastAsia="zh-CN"/>
              </w:rPr>
              <w:t>项目</w:t>
            </w:r>
          </w:p>
        </w:tc>
        <w:tc>
          <w:tcPr>
            <w:tcW w:w="2154" w:type="dxa"/>
            <w:noWrap w:val="0"/>
            <w:vAlign w:val="center"/>
          </w:tcPr>
          <w:p w14:paraId="356B1A7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46A9EF94">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13CDC890">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燃油库房#1、#2储油罐感温光纤报警系统改造</w:t>
            </w:r>
            <w:r>
              <w:rPr>
                <w:rFonts w:hint="eastAsia" w:ascii="仿宋_GB2312" w:hAnsi="仿宋_GB2312" w:eastAsia="仿宋_GB2312" w:cs="仿宋_GB2312"/>
                <w:bCs/>
                <w:color w:val="auto"/>
                <w:sz w:val="24"/>
                <w:highlight w:val="none"/>
                <w:lang w:val="en-US" w:eastAsia="zh-CN"/>
              </w:rPr>
              <w:t>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0E20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770B91E7">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1DB5DF12">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21AF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205FA4B">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78F3BAA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1F0A0769">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1F8F7B07">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785F08E6">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1E849F67">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1A76DE7E">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0BC90E40">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0DEFBF98">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6617B99F">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505"/>
        <w:gridCol w:w="2145"/>
        <w:gridCol w:w="1695"/>
        <w:gridCol w:w="1412"/>
      </w:tblGrid>
      <w:tr w14:paraId="72A1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02820D2F">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505" w:type="dxa"/>
            <w:vAlign w:val="center"/>
          </w:tcPr>
          <w:p w14:paraId="70DF3FB6">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36746234">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7B2747D1">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561BFF8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7E6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7B4122B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505" w:type="dxa"/>
            <w:vAlign w:val="center"/>
          </w:tcPr>
          <w:p w14:paraId="1DDE7FE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14:paraId="3BDC114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3FDD95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07B3805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41BE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214EE39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w:t>
            </w:r>
          </w:p>
        </w:tc>
        <w:tc>
          <w:tcPr>
            <w:tcW w:w="2505" w:type="dxa"/>
            <w:vAlign w:val="center"/>
          </w:tcPr>
          <w:p w14:paraId="175D44E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14:paraId="0C0F3F4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4CFF075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5999B7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2AB3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28B71FB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0A82FDC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2361D0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0EF3E9DF">
      <w:pPr>
        <w:pStyle w:val="11"/>
        <w:jc w:val="center"/>
        <w:rPr>
          <w:rFonts w:hint="eastAsia" w:ascii="仿宋_GB2312" w:hAnsi="仿宋_GB2312" w:eastAsia="仿宋_GB2312" w:cs="仿宋_GB2312"/>
          <w:b/>
          <w:bCs w:val="0"/>
          <w:sz w:val="24"/>
          <w:lang w:val="en-US" w:eastAsia="zh-CN"/>
        </w:rPr>
      </w:pPr>
    </w:p>
    <w:p w14:paraId="1E117510">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20F3DE0D">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6A80710D">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38CAFF51">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23DEEE3A">
      <w:pPr>
        <w:widowControl/>
        <w:spacing w:line="360" w:lineRule="auto"/>
        <w:rPr>
          <w:rFonts w:ascii="仿宋_GB2312" w:hAnsi="仿宋_GB2312" w:eastAsia="仿宋_GB2312" w:cs="仿宋_GB2312"/>
          <w:sz w:val="24"/>
        </w:rPr>
      </w:pPr>
    </w:p>
    <w:p w14:paraId="7EA5D25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7C937CC4">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443CC1AD">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E3E432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4518DBF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0BE07CE1">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1291A0F7">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39324D82">
      <w:pPr>
        <w:widowControl/>
        <w:spacing w:line="440" w:lineRule="exact"/>
        <w:ind w:firstLine="480" w:firstLineChars="200"/>
        <w:rPr>
          <w:rFonts w:ascii="仿宋_GB2312" w:hAnsi="仿宋_GB2312" w:eastAsia="仿宋_GB2312" w:cs="仿宋_GB2312"/>
          <w:sz w:val="24"/>
        </w:rPr>
      </w:pPr>
    </w:p>
    <w:p w14:paraId="1D8368B5">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7CB3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0A4C7DA2">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7FAE5C1">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3533C23E">
      <w:pPr>
        <w:widowControl/>
        <w:spacing w:line="440" w:lineRule="exact"/>
        <w:ind w:firstLine="480" w:firstLineChars="200"/>
        <w:rPr>
          <w:rFonts w:ascii="仿宋_GB2312" w:hAnsi="仿宋_GB2312" w:eastAsia="仿宋_GB2312" w:cs="仿宋_GB2312"/>
          <w:sz w:val="24"/>
        </w:rPr>
      </w:pPr>
    </w:p>
    <w:p w14:paraId="5D137E94">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789C8972">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3AF34677">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D4A413C">
      <w:pPr>
        <w:widowControl/>
        <w:spacing w:line="440" w:lineRule="exact"/>
        <w:ind w:firstLine="480" w:firstLineChars="200"/>
        <w:rPr>
          <w:rFonts w:ascii="仿宋_GB2312" w:hAnsi="仿宋_GB2312" w:eastAsia="仿宋_GB2312" w:cs="仿宋_GB2312"/>
          <w:sz w:val="24"/>
        </w:rPr>
      </w:pPr>
    </w:p>
    <w:p w14:paraId="6B496715">
      <w:pPr>
        <w:widowControl/>
        <w:spacing w:line="440" w:lineRule="exact"/>
        <w:ind w:firstLine="480" w:firstLineChars="200"/>
        <w:rPr>
          <w:rFonts w:ascii="仿宋_GB2312" w:hAnsi="仿宋_GB2312" w:eastAsia="仿宋_GB2312" w:cs="仿宋_GB2312"/>
          <w:sz w:val="24"/>
        </w:rPr>
      </w:pPr>
    </w:p>
    <w:p w14:paraId="5328040E">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4C398A3">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21F496D6">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7D2DC599">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345E4644">
      <w:pPr>
        <w:widowControl/>
        <w:spacing w:line="360" w:lineRule="auto"/>
        <w:rPr>
          <w:rFonts w:ascii="仿宋_GB2312" w:hAnsi="仿宋_GB2312" w:eastAsia="仿宋_GB2312" w:cs="仿宋_GB2312"/>
          <w:sz w:val="24"/>
        </w:rPr>
      </w:pPr>
    </w:p>
    <w:p w14:paraId="13B2D4A4">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1D72637C">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409E0A7E">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5C1AD200">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364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2B474FBC">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2470785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2CA5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118C706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549FB881">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2B9DEE55">
      <w:pPr>
        <w:widowControl/>
        <w:spacing w:line="360" w:lineRule="auto"/>
        <w:rPr>
          <w:rFonts w:ascii="仿宋_GB2312" w:hAnsi="仿宋_GB2312" w:eastAsia="仿宋_GB2312" w:cs="仿宋_GB2312"/>
          <w:sz w:val="24"/>
        </w:rPr>
      </w:pPr>
    </w:p>
    <w:p w14:paraId="114A5A21">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32089E39">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08A2E0A6">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161FFEFC">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2ACB36B">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3A7117B">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8946FF0">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12C27397">
      <w:pPr>
        <w:pStyle w:val="11"/>
      </w:pPr>
    </w:p>
    <w:p w14:paraId="270D62FF">
      <w:pPr>
        <w:pStyle w:val="11"/>
      </w:pPr>
    </w:p>
    <w:p w14:paraId="380772BA">
      <w:pPr>
        <w:pStyle w:val="11"/>
      </w:pPr>
    </w:p>
    <w:p w14:paraId="6AC503A5">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6AF4F624">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3241FA13">
      <w:pPr>
        <w:adjustRightInd w:val="0"/>
        <w:snapToGrid w:val="0"/>
        <w:spacing w:line="300" w:lineRule="auto"/>
        <w:rPr>
          <w:rFonts w:ascii="仿宋_GB2312" w:hAnsi="仿宋_GB2312" w:eastAsia="仿宋_GB2312" w:cs="仿宋_GB2312"/>
          <w:sz w:val="24"/>
        </w:rPr>
      </w:pPr>
    </w:p>
    <w:p w14:paraId="094584E2">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2631C0C7">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我公司已充分了解燃油库房#1、#2储油罐感温光纤报警系统改造</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和</w:t>
      </w:r>
      <w:r>
        <w:rPr>
          <w:rFonts w:hint="eastAsia" w:ascii="仿宋_GB2312" w:hAnsi="仿宋_GB2312" w:eastAsia="仿宋_GB2312" w:cs="仿宋_GB2312"/>
          <w:sz w:val="24"/>
          <w:lang w:val="en-US" w:eastAsia="zh-CN"/>
        </w:rPr>
        <w:t>技术规范书</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0C5FE369">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14:paraId="1FEBD76E">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74045997">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0B712097">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3578B97A">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0F6EDE7F">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0E8FC8C9">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693DEE60">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40B8B2B">
      <w:pPr>
        <w:rPr>
          <w:rFonts w:hint="default"/>
          <w:lang w:val="zh-CN" w:eastAsia="zh-CN"/>
        </w:rPr>
      </w:pPr>
    </w:p>
    <w:p w14:paraId="0B3CD3F3">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1580CD4">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8239A38">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0EFD4B7E">
      <w:pPr>
        <w:pStyle w:val="11"/>
        <w:rPr>
          <w:rFonts w:hint="eastAsia" w:ascii="仿宋_GB2312" w:hAnsi="仿宋_GB2312" w:eastAsia="仿宋_GB2312" w:cs="仿宋_GB2312"/>
          <w:sz w:val="24"/>
        </w:rPr>
      </w:pPr>
    </w:p>
    <w:p w14:paraId="2CFF8A30">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F7CEA4B">
      <w:pPr>
        <w:pStyle w:val="6"/>
        <w:spacing w:line="576" w:lineRule="exact"/>
        <w:ind w:left="5250"/>
        <w:rPr>
          <w:rFonts w:hint="eastAsia" w:ascii="仿宋_GB2312" w:hAnsi="仿宋_GB2312" w:eastAsia="仿宋_GB2312" w:cs="仿宋_GB2312"/>
          <w:color w:val="auto"/>
          <w:sz w:val="24"/>
          <w:szCs w:val="24"/>
          <w:highlight w:val="none"/>
        </w:rPr>
      </w:pPr>
    </w:p>
    <w:p w14:paraId="38CD6CFC">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4A7CCF4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832FC6A">
      <w:pPr>
        <w:pStyle w:val="6"/>
        <w:spacing w:line="576" w:lineRule="exact"/>
        <w:ind w:left="5250"/>
        <w:rPr>
          <w:rFonts w:hint="eastAsia" w:ascii="仿宋_GB2312" w:hAnsi="仿宋_GB2312" w:eastAsia="仿宋_GB2312" w:cs="仿宋_GB2312"/>
          <w:color w:val="auto"/>
          <w:sz w:val="24"/>
          <w:szCs w:val="24"/>
          <w:highlight w:val="none"/>
        </w:rPr>
      </w:pPr>
    </w:p>
    <w:p w14:paraId="5CF9CB7A">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6CE2E01C">
      <w:pPr>
        <w:spacing w:line="576" w:lineRule="exact"/>
        <w:rPr>
          <w:rFonts w:hint="eastAsia" w:ascii="仿宋_GB2312" w:hAnsi="仿宋_GB2312" w:eastAsia="仿宋_GB2312" w:cs="仿宋_GB2312"/>
          <w:color w:val="auto"/>
          <w:sz w:val="24"/>
          <w:szCs w:val="24"/>
          <w:highlight w:val="none"/>
        </w:rPr>
      </w:pPr>
    </w:p>
    <w:p w14:paraId="632EC2E9">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321AF6C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4883E83">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5697FCAD">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5D0B62CA">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5BFA112D">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775BD2DC">
      <w:pPr>
        <w:rPr>
          <w:rFonts w:hint="default"/>
          <w:lang w:val="zh-CN" w:eastAsia="zh-CN"/>
        </w:rPr>
      </w:pPr>
    </w:p>
    <w:p w14:paraId="70CD1F57">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D690E27"/>
    <w:p w14:paraId="081CCC5B">
      <w:pPr>
        <w:spacing w:line="576" w:lineRule="exact"/>
        <w:jc w:val="both"/>
        <w:rPr>
          <w:rFonts w:hint="eastAsia" w:ascii="Times New Roman" w:hAnsi="Times New Roman" w:eastAsia="宋体" w:cs="Times New Roman"/>
          <w:b/>
          <w:bCs w:val="0"/>
          <w:kern w:val="0"/>
          <w:sz w:val="21"/>
          <w:szCs w:val="24"/>
          <w:highlight w:val="none"/>
          <w:lang w:val="zh-CN"/>
        </w:rPr>
      </w:pPr>
    </w:p>
    <w:p w14:paraId="1755C957">
      <w:pPr>
        <w:spacing w:line="576" w:lineRule="exact"/>
        <w:jc w:val="both"/>
        <w:rPr>
          <w:rFonts w:hint="eastAsia" w:ascii="Times New Roman" w:hAnsi="Times New Roman" w:eastAsia="宋体" w:cs="Times New Roman"/>
          <w:b/>
          <w:bCs w:val="0"/>
          <w:kern w:val="0"/>
          <w:sz w:val="21"/>
          <w:szCs w:val="24"/>
          <w:highlight w:val="none"/>
          <w:lang w:val="zh-CN"/>
        </w:rPr>
      </w:pPr>
    </w:p>
    <w:p w14:paraId="1BC52D3B">
      <w:pPr>
        <w:spacing w:line="576" w:lineRule="exact"/>
        <w:jc w:val="both"/>
        <w:rPr>
          <w:rFonts w:hint="eastAsia" w:ascii="Times New Roman" w:hAnsi="Times New Roman" w:eastAsia="宋体" w:cs="Times New Roman"/>
          <w:b/>
          <w:bCs w:val="0"/>
          <w:kern w:val="0"/>
          <w:sz w:val="21"/>
          <w:szCs w:val="24"/>
          <w:highlight w:val="none"/>
          <w:lang w:val="zh-CN"/>
        </w:rPr>
      </w:pPr>
    </w:p>
    <w:p w14:paraId="678C8C92">
      <w:pPr>
        <w:spacing w:line="576" w:lineRule="exact"/>
        <w:jc w:val="both"/>
        <w:rPr>
          <w:rFonts w:hint="eastAsia" w:ascii="Times New Roman" w:hAnsi="Times New Roman" w:eastAsia="宋体" w:cs="Times New Roman"/>
          <w:b/>
          <w:bCs w:val="0"/>
          <w:kern w:val="0"/>
          <w:sz w:val="21"/>
          <w:szCs w:val="24"/>
          <w:highlight w:val="none"/>
          <w:lang w:val="zh-CN"/>
        </w:rPr>
      </w:pPr>
    </w:p>
    <w:p w14:paraId="38DBEAE1">
      <w:pPr>
        <w:spacing w:line="576" w:lineRule="exact"/>
        <w:jc w:val="both"/>
        <w:rPr>
          <w:rFonts w:hint="eastAsia" w:ascii="Times New Roman" w:hAnsi="Times New Roman" w:eastAsia="宋体" w:cs="Times New Roman"/>
          <w:b/>
          <w:bCs w:val="0"/>
          <w:kern w:val="0"/>
          <w:sz w:val="21"/>
          <w:szCs w:val="24"/>
          <w:highlight w:val="none"/>
          <w:lang w:val="zh-CN"/>
        </w:rPr>
      </w:pPr>
    </w:p>
    <w:p w14:paraId="362EBD45">
      <w:pPr>
        <w:spacing w:line="576" w:lineRule="exact"/>
        <w:jc w:val="both"/>
        <w:rPr>
          <w:rFonts w:hint="eastAsia" w:ascii="Times New Roman" w:hAnsi="Times New Roman" w:eastAsia="宋体" w:cs="Times New Roman"/>
          <w:b/>
          <w:bCs w:val="0"/>
          <w:kern w:val="0"/>
          <w:sz w:val="21"/>
          <w:szCs w:val="24"/>
          <w:highlight w:val="none"/>
          <w:lang w:val="zh-CN"/>
        </w:rPr>
      </w:pPr>
    </w:p>
    <w:p w14:paraId="6D767EBD">
      <w:pPr>
        <w:spacing w:line="576" w:lineRule="exact"/>
        <w:jc w:val="both"/>
        <w:rPr>
          <w:rFonts w:hint="eastAsia" w:ascii="Times New Roman" w:hAnsi="Times New Roman" w:eastAsia="宋体" w:cs="Times New Roman"/>
          <w:b/>
          <w:bCs w:val="0"/>
          <w:kern w:val="0"/>
          <w:sz w:val="21"/>
          <w:szCs w:val="24"/>
          <w:highlight w:val="none"/>
          <w:lang w:val="zh-CN"/>
        </w:rPr>
      </w:pPr>
    </w:p>
    <w:p w14:paraId="053CD217">
      <w:pPr>
        <w:spacing w:line="576" w:lineRule="exact"/>
        <w:jc w:val="both"/>
        <w:rPr>
          <w:rFonts w:hint="eastAsia" w:ascii="Times New Roman" w:hAnsi="Times New Roman" w:eastAsia="宋体" w:cs="Times New Roman"/>
          <w:b/>
          <w:bCs w:val="0"/>
          <w:kern w:val="0"/>
          <w:sz w:val="21"/>
          <w:szCs w:val="24"/>
          <w:highlight w:val="none"/>
          <w:lang w:val="zh-CN"/>
        </w:rPr>
      </w:pPr>
    </w:p>
    <w:p w14:paraId="2D5C7952">
      <w:pPr>
        <w:spacing w:line="576" w:lineRule="exact"/>
        <w:jc w:val="both"/>
        <w:rPr>
          <w:rFonts w:hint="eastAsia" w:ascii="Times New Roman" w:hAnsi="Times New Roman" w:eastAsia="宋体" w:cs="Times New Roman"/>
          <w:b/>
          <w:bCs w:val="0"/>
          <w:kern w:val="0"/>
          <w:sz w:val="21"/>
          <w:szCs w:val="24"/>
          <w:highlight w:val="none"/>
          <w:lang w:val="zh-CN"/>
        </w:rPr>
      </w:pPr>
    </w:p>
    <w:p w14:paraId="2B704C19">
      <w:pPr>
        <w:rPr>
          <w:rFonts w:hint="eastAsia"/>
          <w:b/>
          <w:bCs w:val="0"/>
          <w:lang w:eastAsia="zh-CN"/>
        </w:rPr>
      </w:pPr>
      <w:r>
        <w:rPr>
          <w:rFonts w:hint="eastAsia"/>
          <w:b/>
          <w:bCs w:val="0"/>
          <w:lang w:eastAsia="zh-CN"/>
        </w:rPr>
        <w:br w:type="page"/>
      </w:r>
    </w:p>
    <w:p w14:paraId="035CFDF2">
      <w:pPr>
        <w:pStyle w:val="11"/>
        <w:rPr>
          <w:rFonts w:hint="eastAsia"/>
          <w:b/>
          <w:bCs w:val="0"/>
          <w:lang w:eastAsia="zh-CN"/>
        </w:rPr>
      </w:pPr>
      <w:r>
        <w:rPr>
          <w:rFonts w:hint="eastAsia"/>
          <w:b/>
          <w:bCs w:val="0"/>
          <w:lang w:eastAsia="zh-CN"/>
        </w:rPr>
        <w:t>附件</w:t>
      </w:r>
      <w:r>
        <w:rPr>
          <w:rFonts w:hint="eastAsia"/>
          <w:b/>
          <w:bCs w:val="0"/>
          <w:lang w:val="en-US" w:eastAsia="zh-CN"/>
        </w:rPr>
        <w:t>6</w:t>
      </w:r>
      <w:r>
        <w:rPr>
          <w:rFonts w:hint="eastAsia"/>
          <w:b/>
          <w:bCs w:val="0"/>
          <w:lang w:eastAsia="zh-CN"/>
        </w:rPr>
        <w:t>：</w:t>
      </w:r>
    </w:p>
    <w:p w14:paraId="46EE1E26">
      <w:pPr>
        <w:pStyle w:val="11"/>
        <w:jc w:val="center"/>
        <w:rPr>
          <w:rFonts w:hint="eastAsia"/>
          <w:b/>
          <w:bCs w:val="0"/>
          <w:lang w:val="en-US" w:eastAsia="zh-CN"/>
        </w:rPr>
      </w:pPr>
    </w:p>
    <w:p w14:paraId="41E82097">
      <w:pPr>
        <w:pStyle w:val="11"/>
        <w:jc w:val="center"/>
        <w:rPr>
          <w:rFonts w:hint="default"/>
          <w:b/>
          <w:bCs w:val="0"/>
          <w:lang w:val="en-US" w:eastAsia="zh-CN"/>
        </w:rPr>
      </w:pPr>
      <w:r>
        <w:rPr>
          <w:rFonts w:hint="eastAsia"/>
          <w:b/>
          <w:bCs w:val="0"/>
          <w:lang w:val="en-US" w:eastAsia="zh-CN"/>
        </w:rPr>
        <w:t>供货清单表</w:t>
      </w:r>
    </w:p>
    <w:tbl>
      <w:tblPr>
        <w:tblStyle w:val="7"/>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1302"/>
        <w:gridCol w:w="4880"/>
        <w:gridCol w:w="600"/>
        <w:gridCol w:w="730"/>
        <w:gridCol w:w="720"/>
        <w:gridCol w:w="552"/>
      </w:tblGrid>
      <w:tr w14:paraId="110CE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039E52DA">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序号</w:t>
            </w:r>
          </w:p>
        </w:tc>
        <w:tc>
          <w:tcPr>
            <w:tcW w:w="1302" w:type="dxa"/>
            <w:noWrap/>
            <w:vAlign w:val="center"/>
          </w:tcPr>
          <w:p w14:paraId="2DF9A37C">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项目名称</w:t>
            </w:r>
          </w:p>
        </w:tc>
        <w:tc>
          <w:tcPr>
            <w:tcW w:w="4880" w:type="dxa"/>
            <w:noWrap/>
            <w:vAlign w:val="center"/>
          </w:tcPr>
          <w:p w14:paraId="6DDF2C3B">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规格参数</w:t>
            </w:r>
          </w:p>
        </w:tc>
        <w:tc>
          <w:tcPr>
            <w:tcW w:w="600" w:type="dxa"/>
            <w:noWrap/>
            <w:vAlign w:val="center"/>
          </w:tcPr>
          <w:p w14:paraId="34E8A1C4">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单位</w:t>
            </w:r>
          </w:p>
        </w:tc>
        <w:tc>
          <w:tcPr>
            <w:tcW w:w="730" w:type="dxa"/>
            <w:noWrap/>
            <w:vAlign w:val="center"/>
          </w:tcPr>
          <w:p w14:paraId="631ADDAE">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数量</w:t>
            </w:r>
          </w:p>
        </w:tc>
        <w:tc>
          <w:tcPr>
            <w:tcW w:w="720" w:type="dxa"/>
            <w:noWrap/>
            <w:vAlign w:val="center"/>
          </w:tcPr>
          <w:p w14:paraId="41B094D7">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品牌</w:t>
            </w:r>
          </w:p>
        </w:tc>
        <w:tc>
          <w:tcPr>
            <w:tcW w:w="552" w:type="dxa"/>
            <w:noWrap/>
            <w:vAlign w:val="center"/>
          </w:tcPr>
          <w:p w14:paraId="3F007A87">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备注</w:t>
            </w:r>
          </w:p>
        </w:tc>
      </w:tr>
      <w:tr w14:paraId="3F600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0EC9A066">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1302" w:type="dxa"/>
            <w:noWrap w:val="0"/>
            <w:vAlign w:val="center"/>
          </w:tcPr>
          <w:p w14:paraId="1CEEE13E">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定位型测温光纤处理器</w:t>
            </w:r>
          </w:p>
        </w:tc>
        <w:tc>
          <w:tcPr>
            <w:tcW w:w="4880" w:type="dxa"/>
            <w:noWrap w:val="0"/>
            <w:vAlign w:val="center"/>
          </w:tcPr>
          <w:p w14:paraId="098DA374">
            <w:pPr>
              <w:widowControl/>
              <w:spacing w:line="240" w:lineRule="auto"/>
              <w:jc w:val="left"/>
              <w:textAlignment w:val="center"/>
              <w:rPr>
                <w:rFonts w:hint="eastAsia" w:ascii="宋体" w:hAnsi="宋体" w:eastAsia="宋体" w:cs="宋体"/>
                <w:sz w:val="22"/>
                <w:szCs w:val="2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1.定位精度性能</w:t>
            </w:r>
            <w:r>
              <w:rPr>
                <w:rFonts w:hint="eastAsia" w:ascii="宋体" w:hAnsi="宋体" w:eastAsia="宋体" w:cs="宋体"/>
                <w:color w:val="000000"/>
                <w:kern w:val="0"/>
                <w:sz w:val="18"/>
                <w:szCs w:val="18"/>
                <w:lang w:val="en-US" w:eastAsia="zh-CN" w:bidi="ar"/>
              </w:rPr>
              <w:t>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广泛匹配小空间测温应用。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2.3U机架式4通道测温光纤主机</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整机采用短机箱设计</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搭载光学一体化模块。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3.支持开放型网络接口</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OTAP</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MODBUS协议接入、支持防雷、防浪涌、防静电、支持Class 1级激光安全等级。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4.支持同时监测多点温度报警、支持定温、温升及温差报警、支持上传报警类型、温度等信息。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5.系统符合自我检测故障并指示</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且当供电恢复后可自动恢复到上次正常状态。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6.温度分辨率：≤0.1°C  </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定位精度（检测结果）：同一个位置多次模拟触发定温报警</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对应测温主机的多次定位位置最大偏差≤±0.4m。（需提供委托检测报告）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7.系统支持3类报警模式：（1）定温报警：系统开启定温报警后</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可设置分区定温报警值</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当监测温度超过报警设定值时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触发报警；（2）温升报警：系统开启温升速率报警后</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可设置分区温升速率报警值</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当监测温升速率变化超过设定值时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触发报警；（3）温差报警：系统开启温差报警后</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可设置分区温升报警值</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当温度最高值和平均值的差值超过设定值时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触发报警。（需提供委托检测报告）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8.测温精度：测量距离满足≤3km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≤±0.5°C；测量距离满足＞3km且≤10km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≤±1°C。（需提供委托检测报告）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9.单通道探测距离≤3km时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空间分辨率≤0.2m。（需提供委托检测报告）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10.客户端软件支持记录产生日志</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包括报警日志、操作日志、异常日志、事件日志等。日志信息中包括日志类型、时间、操作用户、关键信息等。支持日志的检索与导出。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11.恒定湿热试验：测温主机：（40±2）℃、R相对湿度（93±2）%、48h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试验期间功能正常；测温光缆：（40±2）℃、R相对湿度（93±2）%、48h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试验期间功能正常。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12.防凝露试验：（5±2）°C</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RH（95±2）%</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6h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试验后测温主机箱体外表面无明显凝露产生</w:t>
            </w:r>
          </w:p>
        </w:tc>
        <w:tc>
          <w:tcPr>
            <w:tcW w:w="600" w:type="dxa"/>
            <w:noWrap w:val="0"/>
            <w:vAlign w:val="center"/>
          </w:tcPr>
          <w:p w14:paraId="677BF5CC">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台</w:t>
            </w:r>
          </w:p>
        </w:tc>
        <w:tc>
          <w:tcPr>
            <w:tcW w:w="730" w:type="dxa"/>
            <w:noWrap w:val="0"/>
            <w:vAlign w:val="center"/>
          </w:tcPr>
          <w:p w14:paraId="0A58D11F">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1</w:t>
            </w:r>
          </w:p>
        </w:tc>
        <w:tc>
          <w:tcPr>
            <w:tcW w:w="720" w:type="dxa"/>
            <w:noWrap w:val="0"/>
            <w:vAlign w:val="center"/>
          </w:tcPr>
          <w:p w14:paraId="62A2A22D">
            <w:pPr>
              <w:widowControl/>
              <w:spacing w:line="240" w:lineRule="auto"/>
              <w:jc w:val="left"/>
              <w:textAlignment w:val="center"/>
              <w:rPr>
                <w:rFonts w:hint="eastAsia" w:ascii="宋体" w:hAnsi="宋体" w:eastAsia="宋体" w:cs="宋体"/>
                <w:kern w:val="0"/>
                <w:sz w:val="20"/>
                <w:szCs w:val="20"/>
                <w:lang w:bidi="ar"/>
              </w:rPr>
            </w:pPr>
          </w:p>
        </w:tc>
        <w:tc>
          <w:tcPr>
            <w:tcW w:w="552" w:type="dxa"/>
            <w:noWrap w:val="0"/>
            <w:vAlign w:val="center"/>
          </w:tcPr>
          <w:p w14:paraId="485B962D">
            <w:pPr>
              <w:widowControl/>
              <w:spacing w:line="240" w:lineRule="auto"/>
              <w:jc w:val="center"/>
              <w:textAlignment w:val="center"/>
              <w:rPr>
                <w:rFonts w:hint="eastAsia" w:ascii="宋体" w:hAnsi="宋体" w:eastAsia="宋体" w:cs="宋体"/>
                <w:kern w:val="0"/>
                <w:sz w:val="20"/>
                <w:szCs w:val="20"/>
                <w:lang w:bidi="ar"/>
              </w:rPr>
            </w:pPr>
          </w:p>
        </w:tc>
      </w:tr>
      <w:tr w14:paraId="5D68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6FEC4131">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1302" w:type="dxa"/>
            <w:noWrap w:val="0"/>
            <w:vAlign w:val="center"/>
          </w:tcPr>
          <w:p w14:paraId="3F6976AC">
            <w:pPr>
              <w:widowControl/>
              <w:spacing w:line="240" w:lineRule="auto"/>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感温光缆</w:t>
            </w:r>
          </w:p>
        </w:tc>
        <w:tc>
          <w:tcPr>
            <w:tcW w:w="4880" w:type="dxa"/>
            <w:noWrap w:val="0"/>
            <w:vAlign w:val="center"/>
          </w:tcPr>
          <w:p w14:paraId="61229F72">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1. 温敏探测光缆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光纤≥2芯</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采用GI 62.5/125μm 圆形渐变折射率多模光纤</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紧套材料采用LSZH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铠管材质采用SUS 200CU</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抗拉元件采用芳纶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编织材质采用SUS304</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外护套材质采用LSZH</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光缆外径≥3.3mm</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防护等级IP68。</w:t>
            </w:r>
          </w:p>
        </w:tc>
        <w:tc>
          <w:tcPr>
            <w:tcW w:w="600" w:type="dxa"/>
            <w:noWrap w:val="0"/>
            <w:vAlign w:val="center"/>
          </w:tcPr>
          <w:p w14:paraId="331485FA">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米</w:t>
            </w:r>
          </w:p>
        </w:tc>
        <w:tc>
          <w:tcPr>
            <w:tcW w:w="730" w:type="dxa"/>
            <w:noWrap w:val="0"/>
            <w:vAlign w:val="center"/>
          </w:tcPr>
          <w:p w14:paraId="2449D636">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3</w:t>
            </w:r>
            <w:r>
              <w:rPr>
                <w:rFonts w:hint="eastAsia" w:ascii="宋体" w:hAnsi="宋体" w:cs="宋体"/>
                <w:color w:val="000000"/>
                <w:kern w:val="0"/>
                <w:sz w:val="18"/>
                <w:szCs w:val="18"/>
                <w:lang w:val="en-US" w:eastAsia="zh-CN" w:bidi="ar"/>
              </w:rPr>
              <w:t>0</w:t>
            </w:r>
            <w:r>
              <w:rPr>
                <w:rFonts w:hint="eastAsia" w:ascii="宋体" w:hAnsi="宋体" w:eastAsia="宋体" w:cs="宋体"/>
                <w:color w:val="000000"/>
                <w:kern w:val="0"/>
                <w:sz w:val="18"/>
                <w:szCs w:val="18"/>
                <w:lang w:bidi="ar"/>
              </w:rPr>
              <w:t>00</w:t>
            </w:r>
          </w:p>
        </w:tc>
        <w:tc>
          <w:tcPr>
            <w:tcW w:w="720" w:type="dxa"/>
            <w:noWrap w:val="0"/>
            <w:vAlign w:val="center"/>
          </w:tcPr>
          <w:p w14:paraId="19C5879D">
            <w:pPr>
              <w:widowControl/>
              <w:spacing w:line="240" w:lineRule="auto"/>
              <w:jc w:val="left"/>
              <w:textAlignment w:val="center"/>
              <w:rPr>
                <w:rFonts w:hint="eastAsia" w:ascii="宋体" w:hAnsi="宋体" w:eastAsia="宋体" w:cs="宋体"/>
                <w:kern w:val="0"/>
                <w:sz w:val="20"/>
                <w:szCs w:val="20"/>
                <w:lang w:bidi="ar"/>
              </w:rPr>
            </w:pPr>
          </w:p>
        </w:tc>
        <w:tc>
          <w:tcPr>
            <w:tcW w:w="552" w:type="dxa"/>
            <w:noWrap w:val="0"/>
            <w:vAlign w:val="center"/>
          </w:tcPr>
          <w:p w14:paraId="3265A235">
            <w:pPr>
              <w:widowControl/>
              <w:spacing w:line="240" w:lineRule="auto"/>
              <w:jc w:val="center"/>
              <w:textAlignment w:val="center"/>
              <w:rPr>
                <w:rFonts w:hint="eastAsia" w:ascii="宋体" w:hAnsi="宋体" w:eastAsia="宋体" w:cs="宋体"/>
                <w:kern w:val="0"/>
                <w:sz w:val="20"/>
                <w:szCs w:val="20"/>
                <w:lang w:eastAsia="zh" w:bidi="ar"/>
              </w:rPr>
            </w:pPr>
            <w:r>
              <w:rPr>
                <w:rFonts w:hint="eastAsia" w:ascii="宋体" w:hAnsi="宋体" w:cs="宋体"/>
                <w:kern w:val="0"/>
                <w:sz w:val="20"/>
                <w:szCs w:val="20"/>
                <w:highlight w:val="none"/>
                <w:lang w:eastAsia="zh" w:bidi="ar"/>
              </w:rPr>
              <w:t>以现场需求为准</w:t>
            </w:r>
          </w:p>
        </w:tc>
      </w:tr>
      <w:tr w14:paraId="18A1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76DA1A6D">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w:t>
            </w:r>
          </w:p>
        </w:tc>
        <w:tc>
          <w:tcPr>
            <w:tcW w:w="1302" w:type="dxa"/>
            <w:noWrap w:val="0"/>
            <w:vAlign w:val="center"/>
          </w:tcPr>
          <w:p w14:paraId="18194F84">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光纤箱</w:t>
            </w:r>
          </w:p>
        </w:tc>
        <w:tc>
          <w:tcPr>
            <w:tcW w:w="4880" w:type="dxa"/>
            <w:noWrap w:val="0"/>
            <w:vAlign w:val="center"/>
          </w:tcPr>
          <w:p w14:paraId="3A4EE339">
            <w:pPr>
              <w:widowControl/>
              <w:spacing w:line="240" w:lineRule="auto"/>
              <w:jc w:val="left"/>
              <w:textAlignment w:val="center"/>
              <w:rPr>
                <w:rFonts w:hint="eastAsia" w:ascii="宋体" w:hAnsi="宋体" w:eastAsia="宋体" w:cs="宋体"/>
                <w:sz w:val="22"/>
                <w:szCs w:val="28"/>
              </w:rPr>
            </w:pPr>
            <w:r>
              <w:rPr>
                <w:rStyle w:val="16"/>
                <w:rFonts w:hint="eastAsia" w:ascii="宋体" w:hAnsi="宋体" w:eastAsia="宋体" w:cs="宋体"/>
                <w:sz w:val="18"/>
                <w:szCs w:val="18"/>
                <w:lang w:bidi="ar"/>
              </w:rPr>
              <w:t>1、8口金属光纤终端盒</w:t>
            </w:r>
            <w:r>
              <w:rPr>
                <w:rStyle w:val="16"/>
                <w:rFonts w:hint="eastAsia" w:ascii="宋体" w:hAnsi="宋体" w:eastAsia="宋体" w:cs="宋体"/>
                <w:sz w:val="18"/>
                <w:szCs w:val="18"/>
                <w:lang w:eastAsia="zh-CN" w:bidi="ar"/>
              </w:rPr>
              <w:t>（</w:t>
            </w:r>
            <w:r>
              <w:rPr>
                <w:rStyle w:val="16"/>
                <w:rFonts w:hint="eastAsia" w:ascii="宋体" w:hAnsi="宋体" w:eastAsia="宋体" w:cs="宋体"/>
                <w:sz w:val="18"/>
                <w:szCs w:val="18"/>
                <w:lang w:bidi="ar"/>
              </w:rPr>
              <w:t>含熔纤盘</w:t>
            </w:r>
            <w:r>
              <w:rPr>
                <w:rStyle w:val="16"/>
                <w:rFonts w:hint="eastAsia" w:ascii="宋体" w:hAnsi="宋体" w:eastAsia="宋体" w:cs="宋体"/>
                <w:sz w:val="18"/>
                <w:szCs w:val="18"/>
                <w:lang w:eastAsia="zh-CN" w:bidi="ar"/>
              </w:rPr>
              <w:t>）</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2、兼容性：支持双工LC、单工SC、单工FC适配器安装</w:t>
            </w:r>
            <w:r>
              <w:rPr>
                <w:rStyle w:val="16"/>
                <w:rFonts w:hint="eastAsia" w:ascii="宋体" w:hAnsi="宋体" w:eastAsia="宋体" w:cs="宋体"/>
                <w:sz w:val="18"/>
                <w:szCs w:val="18"/>
                <w:lang w:eastAsia="zh-CN" w:bidi="ar"/>
              </w:rPr>
              <w:t>，</w:t>
            </w:r>
            <w:r>
              <w:rPr>
                <w:rStyle w:val="16"/>
                <w:rFonts w:hint="eastAsia" w:ascii="宋体" w:hAnsi="宋体" w:eastAsia="宋体" w:cs="宋体"/>
                <w:sz w:val="18"/>
                <w:szCs w:val="18"/>
                <w:lang w:bidi="ar"/>
              </w:rPr>
              <w:t>最多支持8个适配器安装；</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3、主要材料：冷轧板；</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4、尺寸：40*133*261mm（高*宽*深）</w:t>
            </w:r>
            <w:r>
              <w:rPr>
                <w:rStyle w:val="16"/>
                <w:rFonts w:hint="eastAsia" w:ascii="宋体" w:hAnsi="宋体" w:eastAsia="宋体" w:cs="宋体"/>
                <w:sz w:val="18"/>
                <w:szCs w:val="18"/>
                <w:lang w:bidi="ar"/>
              </w:rPr>
              <w:br w:type="textWrapping"/>
            </w:r>
            <w:r>
              <w:rPr>
                <w:rStyle w:val="16"/>
                <w:rFonts w:hint="eastAsia" w:ascii="宋体" w:hAnsi="宋体" w:eastAsia="宋体" w:cs="宋体"/>
                <w:sz w:val="18"/>
                <w:szCs w:val="18"/>
                <w:lang w:bidi="ar"/>
              </w:rPr>
              <w:t>5、颜色：黑色</w:t>
            </w:r>
          </w:p>
        </w:tc>
        <w:tc>
          <w:tcPr>
            <w:tcW w:w="600" w:type="dxa"/>
            <w:noWrap w:val="0"/>
            <w:vAlign w:val="center"/>
          </w:tcPr>
          <w:p w14:paraId="295E853E">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台</w:t>
            </w:r>
          </w:p>
        </w:tc>
        <w:tc>
          <w:tcPr>
            <w:tcW w:w="730" w:type="dxa"/>
            <w:vMerge w:val="restart"/>
            <w:noWrap w:val="0"/>
            <w:vAlign w:val="center"/>
          </w:tcPr>
          <w:p w14:paraId="2590A6F7">
            <w:pPr>
              <w:widowControl/>
              <w:spacing w:line="240" w:lineRule="auto"/>
              <w:jc w:val="center"/>
              <w:textAlignment w:val="center"/>
              <w:rPr>
                <w:rFonts w:hint="eastAsia" w:ascii="宋体" w:hAnsi="宋体" w:eastAsia="宋体" w:cs="宋体"/>
                <w:color w:val="000000"/>
                <w:kern w:val="0"/>
                <w:sz w:val="18"/>
                <w:szCs w:val="18"/>
                <w:lang w:bidi="ar"/>
              </w:rPr>
            </w:pPr>
          </w:p>
          <w:p w14:paraId="2B3BF4D3">
            <w:pPr>
              <w:widowControl/>
              <w:spacing w:line="240" w:lineRule="auto"/>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color w:val="000000"/>
                <w:kern w:val="0"/>
                <w:sz w:val="18"/>
                <w:szCs w:val="18"/>
                <w:lang w:val="en-US" w:eastAsia="zh-CN" w:bidi="ar"/>
              </w:rPr>
              <w:t>满足项目需求</w:t>
            </w:r>
          </w:p>
        </w:tc>
        <w:tc>
          <w:tcPr>
            <w:tcW w:w="720" w:type="dxa"/>
            <w:vMerge w:val="restart"/>
            <w:noWrap w:val="0"/>
            <w:vAlign w:val="center"/>
          </w:tcPr>
          <w:p w14:paraId="2213A175">
            <w:pPr>
              <w:widowControl/>
              <w:spacing w:line="240" w:lineRule="auto"/>
              <w:jc w:val="left"/>
              <w:textAlignment w:val="center"/>
              <w:rPr>
                <w:rFonts w:hint="eastAsia" w:ascii="宋体" w:hAnsi="宋体" w:eastAsia="宋体" w:cs="宋体"/>
                <w:kern w:val="0"/>
                <w:sz w:val="20"/>
                <w:szCs w:val="20"/>
                <w:lang w:bidi="ar"/>
              </w:rPr>
            </w:pPr>
          </w:p>
        </w:tc>
        <w:tc>
          <w:tcPr>
            <w:tcW w:w="552" w:type="dxa"/>
            <w:vMerge w:val="restart"/>
            <w:noWrap w:val="0"/>
            <w:vAlign w:val="center"/>
          </w:tcPr>
          <w:p w14:paraId="726600A2">
            <w:pPr>
              <w:widowControl/>
              <w:spacing w:line="240" w:lineRule="auto"/>
              <w:jc w:val="center"/>
              <w:textAlignment w:val="center"/>
              <w:rPr>
                <w:rFonts w:hint="eastAsia" w:ascii="宋体" w:hAnsi="宋体" w:eastAsia="宋体" w:cs="宋体"/>
                <w:kern w:val="0"/>
                <w:sz w:val="20"/>
                <w:szCs w:val="20"/>
                <w:lang w:bidi="ar"/>
              </w:rPr>
            </w:pPr>
          </w:p>
        </w:tc>
      </w:tr>
      <w:tr w14:paraId="33FA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2610D95A">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w:t>
            </w:r>
          </w:p>
        </w:tc>
        <w:tc>
          <w:tcPr>
            <w:tcW w:w="1302" w:type="dxa"/>
            <w:noWrap w:val="0"/>
            <w:vAlign w:val="center"/>
          </w:tcPr>
          <w:p w14:paraId="275910D7">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光纤配件</w:t>
            </w:r>
          </w:p>
        </w:tc>
        <w:tc>
          <w:tcPr>
            <w:tcW w:w="4880" w:type="dxa"/>
            <w:noWrap w:val="0"/>
            <w:vAlign w:val="center"/>
          </w:tcPr>
          <w:p w14:paraId="2EDDFDA9">
            <w:pPr>
              <w:widowControl/>
              <w:spacing w:line="240" w:lineRule="auto"/>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工作温度：-40°~60°</w:t>
            </w:r>
            <w:r>
              <w:rPr>
                <w:rFonts w:hint="eastAsia" w:ascii="宋体" w:hAnsi="宋体" w:eastAsia="宋体" w:cs="宋体"/>
                <w:color w:val="000000"/>
                <w:kern w:val="0"/>
                <w:sz w:val="18"/>
                <w:szCs w:val="18"/>
                <w:lang w:val="en-US" w:eastAsia="zh-CN" w:bidi="ar"/>
              </w:rPr>
              <w:t>/</w:t>
            </w:r>
          </w:p>
          <w:p w14:paraId="206478AD">
            <w:pPr>
              <w:widowControl/>
              <w:numPr>
                <w:ilvl w:val="0"/>
                <w:numId w:val="3"/>
              </w:numPr>
              <w:spacing w:line="240" w:lineRule="auto"/>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工作湿度：95%无冷凝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防水防尘等级：IP68</w:t>
            </w:r>
            <w:r>
              <w:rPr>
                <w:rFonts w:hint="eastAsia" w:ascii="宋体" w:hAnsi="宋体" w:eastAsia="宋体" w:cs="宋体"/>
                <w:color w:val="000000"/>
                <w:kern w:val="0"/>
                <w:sz w:val="18"/>
                <w:szCs w:val="18"/>
                <w:lang w:val="en-US" w:eastAsia="zh-CN" w:bidi="ar"/>
              </w:rPr>
              <w:t>/</w:t>
            </w:r>
          </w:p>
          <w:p w14:paraId="32DFACED">
            <w:pPr>
              <w:widowControl/>
              <w:numPr>
                <w:ilvl w:val="0"/>
                <w:numId w:val="3"/>
              </w:numPr>
              <w:spacing w:line="240" w:lineRule="auto"/>
              <w:ind w:left="0" w:leftChars="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材质：改性PC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颜色：黑色</w:t>
            </w:r>
          </w:p>
          <w:p w14:paraId="712581B4">
            <w:pPr>
              <w:widowControl/>
              <w:numPr>
                <w:ilvl w:val="0"/>
                <w:numId w:val="0"/>
              </w:numPr>
              <w:spacing w:line="240" w:lineRule="auto"/>
              <w:ind w:leftChars="0"/>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安装方式：架空或挂壁安装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 xml:space="preserve">防护等级：IP68 </w:t>
            </w:r>
          </w:p>
        </w:tc>
        <w:tc>
          <w:tcPr>
            <w:tcW w:w="600" w:type="dxa"/>
            <w:noWrap w:val="0"/>
            <w:vAlign w:val="center"/>
          </w:tcPr>
          <w:p w14:paraId="158968A6">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台</w:t>
            </w:r>
          </w:p>
        </w:tc>
        <w:tc>
          <w:tcPr>
            <w:tcW w:w="730" w:type="dxa"/>
            <w:vMerge w:val="continue"/>
            <w:noWrap w:val="0"/>
            <w:vAlign w:val="center"/>
          </w:tcPr>
          <w:p w14:paraId="63CE4B08">
            <w:pPr>
              <w:widowControl/>
              <w:spacing w:line="240" w:lineRule="auto"/>
              <w:jc w:val="center"/>
              <w:textAlignment w:val="center"/>
              <w:rPr>
                <w:rFonts w:hint="eastAsia" w:ascii="宋体" w:hAnsi="宋体" w:eastAsia="宋体" w:cs="宋体"/>
                <w:kern w:val="0"/>
                <w:sz w:val="20"/>
                <w:szCs w:val="20"/>
                <w:lang w:val="en-US" w:eastAsia="zh-CN" w:bidi="ar"/>
              </w:rPr>
            </w:pPr>
          </w:p>
        </w:tc>
        <w:tc>
          <w:tcPr>
            <w:tcW w:w="720" w:type="dxa"/>
            <w:vMerge w:val="continue"/>
            <w:noWrap w:val="0"/>
            <w:vAlign w:val="center"/>
          </w:tcPr>
          <w:p w14:paraId="59D7D8BC">
            <w:pPr>
              <w:widowControl/>
              <w:spacing w:line="240" w:lineRule="auto"/>
              <w:jc w:val="left"/>
              <w:textAlignment w:val="center"/>
              <w:rPr>
                <w:rFonts w:hint="eastAsia" w:ascii="宋体" w:hAnsi="宋体" w:eastAsia="宋体" w:cs="宋体"/>
                <w:kern w:val="0"/>
                <w:sz w:val="20"/>
                <w:szCs w:val="20"/>
                <w:lang w:bidi="ar"/>
              </w:rPr>
            </w:pPr>
          </w:p>
        </w:tc>
        <w:tc>
          <w:tcPr>
            <w:tcW w:w="552" w:type="dxa"/>
            <w:vMerge w:val="continue"/>
            <w:noWrap w:val="0"/>
            <w:vAlign w:val="center"/>
          </w:tcPr>
          <w:p w14:paraId="5887D000">
            <w:pPr>
              <w:widowControl/>
              <w:spacing w:line="240" w:lineRule="auto"/>
              <w:jc w:val="center"/>
              <w:textAlignment w:val="center"/>
              <w:rPr>
                <w:rFonts w:hint="eastAsia" w:ascii="宋体" w:hAnsi="宋体" w:eastAsia="宋体" w:cs="宋体"/>
                <w:kern w:val="0"/>
                <w:sz w:val="20"/>
                <w:szCs w:val="20"/>
                <w:lang w:bidi="ar"/>
              </w:rPr>
            </w:pPr>
          </w:p>
        </w:tc>
      </w:tr>
      <w:tr w14:paraId="6334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42857D42">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w:t>
            </w:r>
          </w:p>
        </w:tc>
        <w:tc>
          <w:tcPr>
            <w:tcW w:w="1302" w:type="dxa"/>
            <w:noWrap w:val="0"/>
            <w:vAlign w:val="center"/>
          </w:tcPr>
          <w:p w14:paraId="60A7ED45">
            <w:pPr>
              <w:spacing w:line="240" w:lineRule="auto"/>
              <w:jc w:val="left"/>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光纤固定配件</w:t>
            </w:r>
          </w:p>
        </w:tc>
        <w:tc>
          <w:tcPr>
            <w:tcW w:w="4880" w:type="dxa"/>
            <w:noWrap w:val="0"/>
            <w:vAlign w:val="center"/>
          </w:tcPr>
          <w:p w14:paraId="13CF7DC8">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val="en-US" w:eastAsia="zh-CN" w:bidi="ar"/>
              </w:rPr>
              <w:t>燃油储罐</w:t>
            </w:r>
            <w:r>
              <w:rPr>
                <w:rFonts w:hint="eastAsia" w:ascii="宋体" w:hAnsi="宋体" w:eastAsia="宋体" w:cs="宋体"/>
                <w:color w:val="000000"/>
                <w:kern w:val="0"/>
                <w:sz w:val="18"/>
                <w:szCs w:val="18"/>
                <w:lang w:bidi="ar"/>
              </w:rPr>
              <w:t>光纤敷设</w:t>
            </w:r>
            <w:r>
              <w:rPr>
                <w:rFonts w:hint="eastAsia" w:ascii="宋体" w:hAnsi="宋体" w:eastAsia="宋体" w:cs="宋体"/>
                <w:color w:val="000000"/>
                <w:kern w:val="0"/>
                <w:sz w:val="18"/>
                <w:szCs w:val="18"/>
                <w:lang w:val="en-US" w:eastAsia="zh-CN" w:bidi="ar"/>
              </w:rPr>
              <w:t>使</w:t>
            </w:r>
            <w:r>
              <w:rPr>
                <w:rFonts w:hint="eastAsia" w:ascii="宋体" w:hAnsi="宋体" w:eastAsia="宋体" w:cs="宋体"/>
                <w:color w:val="000000"/>
                <w:kern w:val="0"/>
                <w:sz w:val="18"/>
                <w:szCs w:val="18"/>
                <w:lang w:bidi="ar"/>
              </w:rPr>
              <w:t>用</w:t>
            </w:r>
          </w:p>
        </w:tc>
        <w:tc>
          <w:tcPr>
            <w:tcW w:w="600" w:type="dxa"/>
            <w:noWrap w:val="0"/>
            <w:vAlign w:val="center"/>
          </w:tcPr>
          <w:p w14:paraId="2CB5CA72">
            <w:pPr>
              <w:widowControl/>
              <w:spacing w:line="240" w:lineRule="auto"/>
              <w:jc w:val="center"/>
              <w:textAlignment w:val="center"/>
              <w:rPr>
                <w:rFonts w:hint="eastAsia" w:ascii="宋体" w:hAnsi="宋体" w:eastAsia="宋体" w:cs="宋体"/>
                <w:kern w:val="0"/>
                <w:sz w:val="20"/>
                <w:szCs w:val="20"/>
                <w:lang w:eastAsia="zh-CN" w:bidi="ar"/>
              </w:rPr>
            </w:pPr>
            <w:r>
              <w:rPr>
                <w:rFonts w:hint="eastAsia" w:ascii="宋体" w:hAnsi="宋体" w:eastAsia="宋体" w:cs="宋体"/>
                <w:color w:val="000000"/>
                <w:kern w:val="0"/>
                <w:sz w:val="18"/>
                <w:szCs w:val="18"/>
                <w:lang w:val="en-US" w:eastAsia="zh-CN" w:bidi="ar"/>
              </w:rPr>
              <w:t>个</w:t>
            </w:r>
          </w:p>
        </w:tc>
        <w:tc>
          <w:tcPr>
            <w:tcW w:w="730" w:type="dxa"/>
            <w:vMerge w:val="continue"/>
            <w:noWrap w:val="0"/>
            <w:vAlign w:val="center"/>
          </w:tcPr>
          <w:p w14:paraId="6FF6C755">
            <w:pPr>
              <w:widowControl/>
              <w:spacing w:line="240" w:lineRule="auto"/>
              <w:jc w:val="center"/>
              <w:textAlignment w:val="center"/>
              <w:rPr>
                <w:rFonts w:hint="eastAsia" w:ascii="宋体" w:hAnsi="宋体" w:eastAsia="宋体" w:cs="宋体"/>
                <w:kern w:val="0"/>
                <w:sz w:val="20"/>
                <w:szCs w:val="20"/>
                <w:lang w:val="en-US" w:eastAsia="zh-CN" w:bidi="ar"/>
              </w:rPr>
            </w:pPr>
          </w:p>
        </w:tc>
        <w:tc>
          <w:tcPr>
            <w:tcW w:w="720" w:type="dxa"/>
            <w:vMerge w:val="continue"/>
            <w:noWrap w:val="0"/>
            <w:vAlign w:val="center"/>
          </w:tcPr>
          <w:p w14:paraId="68D51AC4">
            <w:pPr>
              <w:spacing w:line="240" w:lineRule="auto"/>
              <w:jc w:val="left"/>
              <w:rPr>
                <w:rFonts w:hint="eastAsia" w:ascii="宋体" w:hAnsi="宋体" w:eastAsia="宋体" w:cs="宋体"/>
                <w:kern w:val="0"/>
                <w:sz w:val="20"/>
                <w:szCs w:val="20"/>
                <w:lang w:bidi="ar"/>
              </w:rPr>
            </w:pPr>
          </w:p>
        </w:tc>
        <w:tc>
          <w:tcPr>
            <w:tcW w:w="552" w:type="dxa"/>
            <w:vMerge w:val="continue"/>
            <w:noWrap w:val="0"/>
            <w:vAlign w:val="center"/>
          </w:tcPr>
          <w:p w14:paraId="510EF8A0">
            <w:pPr>
              <w:widowControl/>
              <w:spacing w:line="240" w:lineRule="auto"/>
              <w:jc w:val="center"/>
              <w:textAlignment w:val="center"/>
              <w:rPr>
                <w:rFonts w:hint="eastAsia" w:ascii="宋体" w:hAnsi="宋体" w:eastAsia="宋体" w:cs="宋体"/>
                <w:kern w:val="0"/>
                <w:sz w:val="20"/>
                <w:szCs w:val="20"/>
                <w:lang w:bidi="ar"/>
              </w:rPr>
            </w:pPr>
          </w:p>
        </w:tc>
      </w:tr>
      <w:tr w14:paraId="2CB1D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75631145">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6</w:t>
            </w:r>
          </w:p>
        </w:tc>
        <w:tc>
          <w:tcPr>
            <w:tcW w:w="1302" w:type="dxa"/>
            <w:noWrap w:val="0"/>
            <w:vAlign w:val="center"/>
          </w:tcPr>
          <w:p w14:paraId="17E3D793">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工作站</w:t>
            </w:r>
          </w:p>
        </w:tc>
        <w:tc>
          <w:tcPr>
            <w:tcW w:w="4880" w:type="dxa"/>
            <w:noWrap w:val="0"/>
            <w:vAlign w:val="center"/>
          </w:tcPr>
          <w:p w14:paraId="47B1A7CF">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采用13代多核处理器</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DDR5高速内存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支持双显卡</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大容量高速固态硬盘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采用立式机箱的设计</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板载具备更丰富的接口</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便于扩展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轻松满足各种工作场景使用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针对安防场景进行了软硬件适配调优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兼容主流安防应用软件及视频处理软件</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视频显示更加流畅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处理器： i9-13900 </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24核/32线程/2 GHz）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内存：  32 GB</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4800MHz速率</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DDR5</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4个内存插槽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最大支持128 GB内存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SSD硬盘： 1个 512 G M.2 SSD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显卡：独立显卡型号RTX 3060</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显存容量12 GB</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视频接口1个HDMI</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1个DP</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0个VGA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光驱：不带光驱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电源：650 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机箱大小：31 L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键鼠：含USB有线键鼠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显示器：23.8英寸</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分辨率1920x1080</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刷新率100hz</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1个HDMI</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 xml:space="preserve">1个VGA视频接口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操作系统：Win10企业版</w:t>
            </w:r>
            <w:r>
              <w:rPr>
                <w:rFonts w:hint="eastAsia" w:ascii="宋体" w:hAnsi="宋体" w:cs="宋体"/>
                <w:color w:val="000000"/>
                <w:kern w:val="0"/>
                <w:sz w:val="18"/>
                <w:szCs w:val="18"/>
                <w:highlight w:val="none"/>
                <w:lang w:eastAsia="zh" w:bidi="ar"/>
              </w:rPr>
              <w:t>（正版）永久</w:t>
            </w:r>
            <w:r>
              <w:rPr>
                <w:rFonts w:hint="eastAsia" w:ascii="宋体" w:hAnsi="宋体" w:eastAsia="宋体" w:cs="宋体"/>
                <w:color w:val="000000"/>
                <w:kern w:val="0"/>
                <w:sz w:val="18"/>
                <w:szCs w:val="18"/>
                <w:highlight w:val="none"/>
                <w:lang w:bidi="ar"/>
              </w:rPr>
              <w:t xml:space="preserve">激活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前置USB接口：1个USB 3.0</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1个USB 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后置USB接口：10个USB 3.0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硬盘接口：支持4个SATA接口</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2个M.2接口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PCIe扩展：1个 PCIE5.0 x16插槽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1个PCIE4.0 x16插槽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1个PCIE4.0 x4插槽</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2个PCIE3.0 x4插槽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音频接口：前置：1个Mic in</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1个headphone out；后置：1个line in</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1个line out</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1个Mic in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网络接口：2个RJ45  千 兆以太网口（10 M/100 M/1000 M自适应）</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支持网络唤醒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其他接口：1个PS2 </w:t>
            </w:r>
          </w:p>
        </w:tc>
        <w:tc>
          <w:tcPr>
            <w:tcW w:w="600" w:type="dxa"/>
            <w:noWrap w:val="0"/>
            <w:vAlign w:val="center"/>
          </w:tcPr>
          <w:p w14:paraId="6A4B9E2E">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台</w:t>
            </w:r>
          </w:p>
        </w:tc>
        <w:tc>
          <w:tcPr>
            <w:tcW w:w="730" w:type="dxa"/>
            <w:noWrap w:val="0"/>
            <w:vAlign w:val="center"/>
          </w:tcPr>
          <w:p w14:paraId="0EB89994">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1</w:t>
            </w:r>
          </w:p>
        </w:tc>
        <w:tc>
          <w:tcPr>
            <w:tcW w:w="720" w:type="dxa"/>
            <w:noWrap w:val="0"/>
            <w:vAlign w:val="center"/>
          </w:tcPr>
          <w:p w14:paraId="4DFAFCBD">
            <w:pPr>
              <w:widowControl/>
              <w:spacing w:line="240" w:lineRule="auto"/>
              <w:jc w:val="left"/>
              <w:textAlignment w:val="center"/>
              <w:rPr>
                <w:rFonts w:hint="eastAsia" w:ascii="宋体" w:hAnsi="宋体" w:eastAsia="宋体" w:cs="宋体"/>
                <w:kern w:val="0"/>
                <w:sz w:val="20"/>
                <w:szCs w:val="20"/>
                <w:lang w:bidi="ar"/>
              </w:rPr>
            </w:pPr>
          </w:p>
        </w:tc>
        <w:tc>
          <w:tcPr>
            <w:tcW w:w="552" w:type="dxa"/>
            <w:noWrap w:val="0"/>
            <w:vAlign w:val="center"/>
          </w:tcPr>
          <w:p w14:paraId="4B9C4608">
            <w:pPr>
              <w:widowControl/>
              <w:spacing w:line="240" w:lineRule="auto"/>
              <w:jc w:val="center"/>
              <w:textAlignment w:val="center"/>
              <w:rPr>
                <w:rFonts w:hint="eastAsia" w:ascii="宋体" w:hAnsi="宋体" w:eastAsia="宋体" w:cs="宋体"/>
                <w:kern w:val="0"/>
                <w:sz w:val="20"/>
                <w:szCs w:val="20"/>
                <w:lang w:bidi="ar"/>
              </w:rPr>
            </w:pPr>
          </w:p>
        </w:tc>
      </w:tr>
      <w:tr w14:paraId="65B88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22D984D4">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7</w:t>
            </w:r>
          </w:p>
        </w:tc>
        <w:tc>
          <w:tcPr>
            <w:tcW w:w="1302" w:type="dxa"/>
            <w:noWrap w:val="0"/>
            <w:vAlign w:val="center"/>
          </w:tcPr>
          <w:p w14:paraId="5F24B298">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安消综合管理平台软件</w:t>
            </w:r>
          </w:p>
        </w:tc>
        <w:tc>
          <w:tcPr>
            <w:tcW w:w="4880" w:type="dxa"/>
            <w:noWrap w:val="0"/>
            <w:vAlign w:val="center"/>
          </w:tcPr>
          <w:p w14:paraId="696DF6E3">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基于光纤、光栅的等设备的感知能力</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提供温度、压力等数据采集、可根据监测设备不同设置不同的预警参数。从而达到设施设施监测的摸底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主要用于生产过程中对运行设备设施健康的探测。该客户端可以独立运行无需搭配平台使用。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一、设备接入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1、支持测温光纤设备、光栅设备、前端设备的接入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2、支持配置设备分区、分区的预警参数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3、支持实时查看设备监测数据的变化曲线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二、实时预警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1、支持定温、温升、温降、温差等报警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2、支持报警弹框、语音播报以及联动视频的能力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3、预警时支持展示监测数据24小时变化曲线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4、可查看历史预警记录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并可查看当时预警时数据变化曲线</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并可对预警记录进行导出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三、图上监控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1、温度数据的接收与可视化展示：单设备温度数据的列表展示、地图上可视化展示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2、温度异常预警的接收与可视化展示：温度异常预警目前包括定温预警、温差预警、温升预警</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 xml:space="preserve">这些预警事件的列表展示、地图可视化展示 </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并提供热成像远程复合、事件处置闭环业务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3、空间维度的温度统计：地图温度热力图展示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4、时间维度的温度变化趋势：针对某个设备的事件、温度变化趋势折线图绘制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5、温度异常预警联动抓图</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在事件详情中展示对应的抓图</w:t>
            </w:r>
          </w:p>
        </w:tc>
        <w:tc>
          <w:tcPr>
            <w:tcW w:w="600" w:type="dxa"/>
            <w:noWrap w:val="0"/>
            <w:vAlign w:val="center"/>
          </w:tcPr>
          <w:p w14:paraId="58D68520">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套</w:t>
            </w:r>
          </w:p>
        </w:tc>
        <w:tc>
          <w:tcPr>
            <w:tcW w:w="730" w:type="dxa"/>
            <w:noWrap w:val="0"/>
            <w:vAlign w:val="center"/>
          </w:tcPr>
          <w:p w14:paraId="2A58378B">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1</w:t>
            </w:r>
          </w:p>
        </w:tc>
        <w:tc>
          <w:tcPr>
            <w:tcW w:w="720" w:type="dxa"/>
            <w:noWrap w:val="0"/>
            <w:vAlign w:val="center"/>
          </w:tcPr>
          <w:p w14:paraId="6DCC3C9C">
            <w:pPr>
              <w:spacing w:line="240" w:lineRule="auto"/>
              <w:jc w:val="left"/>
              <w:rPr>
                <w:rFonts w:hint="eastAsia" w:ascii="宋体" w:hAnsi="宋体" w:eastAsia="宋体" w:cs="宋体"/>
                <w:kern w:val="0"/>
                <w:sz w:val="20"/>
                <w:szCs w:val="20"/>
                <w:lang w:bidi="ar"/>
              </w:rPr>
            </w:pPr>
          </w:p>
        </w:tc>
        <w:tc>
          <w:tcPr>
            <w:tcW w:w="552" w:type="dxa"/>
            <w:noWrap w:val="0"/>
            <w:vAlign w:val="center"/>
          </w:tcPr>
          <w:p w14:paraId="79EB7DDA">
            <w:pPr>
              <w:widowControl/>
              <w:spacing w:line="240" w:lineRule="auto"/>
              <w:jc w:val="center"/>
              <w:textAlignment w:val="center"/>
              <w:rPr>
                <w:rFonts w:hint="eastAsia" w:ascii="宋体" w:hAnsi="宋体" w:eastAsia="宋体" w:cs="宋体"/>
                <w:kern w:val="0"/>
                <w:sz w:val="20"/>
                <w:szCs w:val="20"/>
                <w:lang w:eastAsia="zh" w:bidi="ar"/>
              </w:rPr>
            </w:pPr>
            <w:r>
              <w:rPr>
                <w:rFonts w:hint="eastAsia" w:ascii="宋体" w:hAnsi="宋体" w:eastAsia="宋体" w:cs="宋体"/>
                <w:color w:val="000000"/>
                <w:kern w:val="0"/>
                <w:sz w:val="18"/>
                <w:szCs w:val="18"/>
                <w:highlight w:val="none"/>
                <w:lang w:val="en-US" w:eastAsia="zh-CN" w:bidi="ar"/>
              </w:rPr>
              <w:t>全正版</w:t>
            </w:r>
            <w:r>
              <w:rPr>
                <w:rFonts w:hint="eastAsia" w:ascii="宋体" w:hAnsi="宋体" w:eastAsia="宋体" w:cs="宋体"/>
                <w:color w:val="000000"/>
                <w:kern w:val="0"/>
                <w:sz w:val="18"/>
                <w:szCs w:val="18"/>
                <w:highlight w:val="none"/>
                <w:lang w:val="en-US" w:eastAsia="zh" w:bidi="ar"/>
              </w:rPr>
              <w:t>（终身免费且负责升级）</w:t>
            </w:r>
          </w:p>
        </w:tc>
      </w:tr>
      <w:tr w14:paraId="4B6C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3B08D34D">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9</w:t>
            </w:r>
          </w:p>
        </w:tc>
        <w:tc>
          <w:tcPr>
            <w:tcW w:w="1302" w:type="dxa"/>
            <w:noWrap w:val="0"/>
            <w:vAlign w:val="center"/>
          </w:tcPr>
          <w:p w14:paraId="570FB01F">
            <w:pPr>
              <w:widowControl/>
              <w:spacing w:line="240" w:lineRule="auto"/>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18"/>
                <w:szCs w:val="18"/>
                <w:lang w:val="en-US" w:eastAsia="zh-CN" w:bidi="ar"/>
              </w:rPr>
              <w:t>电缆保护管</w:t>
            </w:r>
          </w:p>
        </w:tc>
        <w:tc>
          <w:tcPr>
            <w:tcW w:w="4880" w:type="dxa"/>
            <w:noWrap w:val="0"/>
            <w:vAlign w:val="center"/>
          </w:tcPr>
          <w:p w14:paraId="28AAF176">
            <w:pPr>
              <w:widowControl/>
              <w:spacing w:line="240" w:lineRule="auto"/>
              <w:jc w:val="left"/>
              <w:textAlignment w:val="center"/>
              <w:rPr>
                <w:rFonts w:hint="eastAsia" w:ascii="宋体" w:hAnsi="宋体" w:eastAsia="宋体" w:cs="宋体"/>
                <w:kern w:val="0"/>
                <w:sz w:val="20"/>
                <w:szCs w:val="20"/>
                <w:lang w:bidi="ar"/>
              </w:rPr>
            </w:pPr>
            <w:r>
              <w:rPr>
                <w:rFonts w:hint="eastAsia" w:ascii="宋体" w:hAnsi="宋体" w:cs="宋体"/>
                <w:color w:val="000000"/>
                <w:kern w:val="0"/>
                <w:sz w:val="18"/>
                <w:szCs w:val="18"/>
                <w:lang w:val="en-US" w:eastAsia="zh-CN" w:bidi="ar"/>
              </w:rPr>
              <w:t>包含软管、镀锌管、卡扣、接头等，</w:t>
            </w:r>
            <w:r>
              <w:rPr>
                <w:rFonts w:hint="eastAsia" w:ascii="宋体" w:hAnsi="宋体" w:eastAsia="宋体" w:cs="宋体"/>
                <w:color w:val="000000"/>
                <w:kern w:val="0"/>
                <w:sz w:val="18"/>
                <w:szCs w:val="18"/>
                <w:lang w:bidi="ar"/>
              </w:rPr>
              <w:t>国标</w:t>
            </w:r>
          </w:p>
        </w:tc>
        <w:tc>
          <w:tcPr>
            <w:tcW w:w="600" w:type="dxa"/>
            <w:noWrap w:val="0"/>
            <w:vAlign w:val="center"/>
          </w:tcPr>
          <w:p w14:paraId="7A5BD941">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color w:val="000000"/>
                <w:kern w:val="0"/>
                <w:sz w:val="18"/>
                <w:szCs w:val="18"/>
                <w:lang w:bidi="ar"/>
              </w:rPr>
              <w:t>米</w:t>
            </w:r>
          </w:p>
        </w:tc>
        <w:tc>
          <w:tcPr>
            <w:tcW w:w="730" w:type="dxa"/>
            <w:vMerge w:val="restart"/>
            <w:noWrap w:val="0"/>
            <w:vAlign w:val="center"/>
          </w:tcPr>
          <w:p w14:paraId="39AAA1D6">
            <w:pPr>
              <w:widowControl/>
              <w:spacing w:line="240" w:lineRule="auto"/>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满足项目需求</w:t>
            </w:r>
          </w:p>
        </w:tc>
        <w:tc>
          <w:tcPr>
            <w:tcW w:w="720" w:type="dxa"/>
            <w:vMerge w:val="restart"/>
            <w:noWrap w:val="0"/>
            <w:vAlign w:val="center"/>
          </w:tcPr>
          <w:p w14:paraId="03A0C843">
            <w:pPr>
              <w:spacing w:line="240" w:lineRule="auto"/>
              <w:jc w:val="left"/>
              <w:rPr>
                <w:rFonts w:hint="eastAsia" w:ascii="宋体" w:hAnsi="宋体" w:eastAsia="宋体" w:cs="宋体"/>
                <w:kern w:val="0"/>
                <w:sz w:val="20"/>
                <w:szCs w:val="20"/>
                <w:lang w:bidi="ar"/>
              </w:rPr>
            </w:pPr>
          </w:p>
        </w:tc>
        <w:tc>
          <w:tcPr>
            <w:tcW w:w="552" w:type="dxa"/>
            <w:vMerge w:val="restart"/>
            <w:noWrap w:val="0"/>
            <w:vAlign w:val="center"/>
          </w:tcPr>
          <w:p w14:paraId="44CF7439">
            <w:pPr>
              <w:widowControl/>
              <w:spacing w:line="240" w:lineRule="auto"/>
              <w:jc w:val="center"/>
              <w:textAlignment w:val="center"/>
              <w:rPr>
                <w:rFonts w:hint="eastAsia" w:ascii="宋体" w:hAnsi="宋体" w:eastAsia="宋体" w:cs="宋体"/>
                <w:kern w:val="0"/>
                <w:sz w:val="20"/>
                <w:szCs w:val="20"/>
                <w:lang w:bidi="ar"/>
              </w:rPr>
            </w:pPr>
          </w:p>
        </w:tc>
      </w:tr>
      <w:tr w14:paraId="08467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089001CB">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11</w:t>
            </w:r>
          </w:p>
        </w:tc>
        <w:tc>
          <w:tcPr>
            <w:tcW w:w="1302" w:type="dxa"/>
            <w:noWrap w:val="0"/>
            <w:vAlign w:val="center"/>
          </w:tcPr>
          <w:p w14:paraId="62506F25">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线材</w:t>
            </w:r>
          </w:p>
        </w:tc>
        <w:tc>
          <w:tcPr>
            <w:tcW w:w="4880" w:type="dxa"/>
            <w:noWrap w:val="0"/>
            <w:vAlign w:val="center"/>
          </w:tcPr>
          <w:p w14:paraId="51CE7255">
            <w:pPr>
              <w:widowControl/>
              <w:spacing w:line="240" w:lineRule="auto"/>
              <w:jc w:val="left"/>
              <w:textAlignment w:val="center"/>
              <w:rPr>
                <w:rFonts w:hint="eastAsia" w:ascii="宋体" w:hAnsi="宋体" w:eastAsia="宋体" w:cs="宋体"/>
                <w:sz w:val="22"/>
                <w:szCs w:val="28"/>
              </w:rPr>
            </w:pPr>
            <w:r>
              <w:rPr>
                <w:rFonts w:hint="eastAsia" w:ascii="宋体" w:hAnsi="宋体" w:eastAsia="宋体" w:cs="宋体"/>
                <w:color w:val="000000"/>
                <w:kern w:val="0"/>
                <w:sz w:val="18"/>
                <w:szCs w:val="18"/>
                <w:lang w:bidi="ar"/>
              </w:rPr>
              <w:t>国标</w:t>
            </w:r>
          </w:p>
        </w:tc>
        <w:tc>
          <w:tcPr>
            <w:tcW w:w="600" w:type="dxa"/>
            <w:noWrap w:val="0"/>
            <w:vAlign w:val="center"/>
          </w:tcPr>
          <w:p w14:paraId="6C17A64D">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米</w:t>
            </w:r>
          </w:p>
        </w:tc>
        <w:tc>
          <w:tcPr>
            <w:tcW w:w="730" w:type="dxa"/>
            <w:vMerge w:val="continue"/>
            <w:noWrap w:val="0"/>
            <w:vAlign w:val="center"/>
          </w:tcPr>
          <w:p w14:paraId="2A2A950E">
            <w:pPr>
              <w:widowControl/>
              <w:spacing w:line="240" w:lineRule="auto"/>
              <w:jc w:val="center"/>
              <w:textAlignment w:val="center"/>
              <w:rPr>
                <w:rFonts w:hint="eastAsia" w:ascii="宋体" w:hAnsi="宋体" w:eastAsia="宋体" w:cs="宋体"/>
                <w:kern w:val="0"/>
                <w:sz w:val="20"/>
                <w:szCs w:val="20"/>
                <w:lang w:bidi="ar"/>
              </w:rPr>
            </w:pPr>
          </w:p>
        </w:tc>
        <w:tc>
          <w:tcPr>
            <w:tcW w:w="720" w:type="dxa"/>
            <w:vMerge w:val="continue"/>
            <w:noWrap w:val="0"/>
            <w:vAlign w:val="center"/>
          </w:tcPr>
          <w:p w14:paraId="408F5719">
            <w:pPr>
              <w:widowControl/>
              <w:spacing w:line="240" w:lineRule="auto"/>
              <w:jc w:val="left"/>
              <w:textAlignment w:val="center"/>
              <w:rPr>
                <w:rFonts w:hint="eastAsia" w:ascii="宋体" w:hAnsi="宋体" w:eastAsia="宋体" w:cs="宋体"/>
                <w:kern w:val="0"/>
                <w:sz w:val="20"/>
                <w:szCs w:val="20"/>
                <w:lang w:bidi="ar"/>
              </w:rPr>
            </w:pPr>
          </w:p>
        </w:tc>
        <w:tc>
          <w:tcPr>
            <w:tcW w:w="552" w:type="dxa"/>
            <w:vMerge w:val="continue"/>
            <w:noWrap w:val="0"/>
            <w:vAlign w:val="center"/>
          </w:tcPr>
          <w:p w14:paraId="4C0530F7">
            <w:pPr>
              <w:widowControl/>
              <w:spacing w:line="240" w:lineRule="auto"/>
              <w:jc w:val="center"/>
              <w:textAlignment w:val="center"/>
              <w:rPr>
                <w:rFonts w:hint="eastAsia" w:ascii="宋体" w:hAnsi="宋体" w:eastAsia="宋体" w:cs="宋体"/>
                <w:kern w:val="0"/>
                <w:sz w:val="20"/>
                <w:szCs w:val="20"/>
                <w:lang w:bidi="ar"/>
              </w:rPr>
            </w:pPr>
          </w:p>
        </w:tc>
      </w:tr>
      <w:tr w14:paraId="0069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1742C76C">
            <w:pPr>
              <w:widowControl/>
              <w:spacing w:line="240" w:lineRule="auto"/>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14</w:t>
            </w:r>
          </w:p>
        </w:tc>
        <w:tc>
          <w:tcPr>
            <w:tcW w:w="1302" w:type="dxa"/>
            <w:noWrap w:val="0"/>
            <w:vAlign w:val="center"/>
          </w:tcPr>
          <w:p w14:paraId="16F1E4DA">
            <w:pPr>
              <w:widowControl/>
              <w:spacing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辅材</w:t>
            </w:r>
          </w:p>
        </w:tc>
        <w:tc>
          <w:tcPr>
            <w:tcW w:w="4880" w:type="dxa"/>
            <w:noWrap w:val="0"/>
            <w:vAlign w:val="center"/>
          </w:tcPr>
          <w:p w14:paraId="556441BA">
            <w:pPr>
              <w:widowControl/>
              <w:spacing w:line="240" w:lineRule="auto"/>
              <w:jc w:val="left"/>
              <w:textAlignment w:val="center"/>
              <w:rPr>
                <w:rFonts w:hint="eastAsia" w:ascii="宋体" w:hAnsi="宋体" w:eastAsia="宋体" w:cs="宋体"/>
                <w:sz w:val="22"/>
                <w:szCs w:val="28"/>
              </w:rPr>
            </w:pPr>
            <w:r>
              <w:rPr>
                <w:rFonts w:hint="eastAsia" w:ascii="宋体" w:hAnsi="宋体" w:eastAsia="宋体" w:cs="宋体"/>
                <w:color w:val="000000"/>
                <w:kern w:val="0"/>
                <w:sz w:val="18"/>
                <w:szCs w:val="18"/>
                <w:lang w:bidi="ar"/>
              </w:rPr>
              <w:t>含电工胶布</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扎带</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熔纤盘</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尾纤、安装配件</w:t>
            </w:r>
            <w:r>
              <w:rPr>
                <w:rFonts w:hint="eastAsia" w:ascii="宋体" w:hAnsi="宋体" w:eastAsia="宋体" w:cs="宋体"/>
                <w:color w:val="000000"/>
                <w:kern w:val="0"/>
                <w:sz w:val="18"/>
                <w:szCs w:val="18"/>
                <w:lang w:bidi="ar"/>
              </w:rPr>
              <w:t>等</w:t>
            </w:r>
          </w:p>
        </w:tc>
        <w:tc>
          <w:tcPr>
            <w:tcW w:w="600" w:type="dxa"/>
            <w:noWrap w:val="0"/>
            <w:vAlign w:val="center"/>
          </w:tcPr>
          <w:p w14:paraId="189F3F81">
            <w:pPr>
              <w:widowControl/>
              <w:spacing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18"/>
                <w:szCs w:val="18"/>
                <w:lang w:bidi="ar"/>
              </w:rPr>
              <w:t>批</w:t>
            </w:r>
          </w:p>
        </w:tc>
        <w:tc>
          <w:tcPr>
            <w:tcW w:w="730" w:type="dxa"/>
            <w:vMerge w:val="continue"/>
            <w:noWrap w:val="0"/>
            <w:vAlign w:val="center"/>
          </w:tcPr>
          <w:p w14:paraId="1689ECBE">
            <w:pPr>
              <w:widowControl/>
              <w:spacing w:line="240" w:lineRule="auto"/>
              <w:jc w:val="center"/>
              <w:textAlignment w:val="center"/>
              <w:rPr>
                <w:rFonts w:hint="eastAsia" w:ascii="宋体" w:hAnsi="宋体" w:eastAsia="宋体" w:cs="宋体"/>
                <w:kern w:val="0"/>
                <w:sz w:val="20"/>
                <w:szCs w:val="20"/>
                <w:lang w:bidi="ar"/>
              </w:rPr>
            </w:pPr>
          </w:p>
        </w:tc>
        <w:tc>
          <w:tcPr>
            <w:tcW w:w="720" w:type="dxa"/>
            <w:vMerge w:val="continue"/>
            <w:noWrap w:val="0"/>
            <w:vAlign w:val="center"/>
          </w:tcPr>
          <w:p w14:paraId="1E8D0E29">
            <w:pPr>
              <w:spacing w:line="240" w:lineRule="auto"/>
              <w:jc w:val="left"/>
              <w:rPr>
                <w:rFonts w:hint="eastAsia" w:ascii="宋体" w:hAnsi="宋体" w:eastAsia="宋体" w:cs="宋体"/>
                <w:kern w:val="0"/>
                <w:sz w:val="20"/>
                <w:szCs w:val="20"/>
                <w:lang w:bidi="ar"/>
              </w:rPr>
            </w:pPr>
          </w:p>
        </w:tc>
        <w:tc>
          <w:tcPr>
            <w:tcW w:w="552" w:type="dxa"/>
            <w:vMerge w:val="continue"/>
            <w:noWrap w:val="0"/>
            <w:vAlign w:val="center"/>
          </w:tcPr>
          <w:p w14:paraId="77D8AA76">
            <w:pPr>
              <w:widowControl/>
              <w:spacing w:line="240" w:lineRule="auto"/>
              <w:jc w:val="center"/>
              <w:textAlignment w:val="center"/>
              <w:rPr>
                <w:rFonts w:hint="eastAsia" w:ascii="宋体" w:hAnsi="宋体" w:eastAsia="宋体" w:cs="宋体"/>
                <w:kern w:val="0"/>
                <w:sz w:val="20"/>
                <w:szCs w:val="20"/>
                <w:lang w:bidi="ar"/>
              </w:rPr>
            </w:pPr>
          </w:p>
        </w:tc>
      </w:tr>
      <w:tr w14:paraId="5C1C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8" w:type="dxa"/>
            <w:noWrap/>
            <w:vAlign w:val="center"/>
          </w:tcPr>
          <w:p w14:paraId="733AE900">
            <w:pPr>
              <w:widowControl/>
              <w:spacing w:line="240" w:lineRule="auto"/>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w:t>
            </w:r>
          </w:p>
        </w:tc>
        <w:tc>
          <w:tcPr>
            <w:tcW w:w="1302" w:type="dxa"/>
            <w:noWrap w:val="0"/>
            <w:vAlign w:val="center"/>
          </w:tcPr>
          <w:p w14:paraId="17CAB058">
            <w:pPr>
              <w:widowControl/>
              <w:spacing w:line="240" w:lineRule="auto"/>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4880" w:type="dxa"/>
            <w:noWrap w:val="0"/>
            <w:vAlign w:val="center"/>
          </w:tcPr>
          <w:p w14:paraId="7C93CB6D">
            <w:pPr>
              <w:widowControl/>
              <w:spacing w:line="240" w:lineRule="auto"/>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600" w:type="dxa"/>
            <w:noWrap w:val="0"/>
            <w:vAlign w:val="center"/>
          </w:tcPr>
          <w:p w14:paraId="4879F8D7">
            <w:pPr>
              <w:widowControl/>
              <w:spacing w:line="240" w:lineRule="auto"/>
              <w:jc w:val="center"/>
              <w:textAlignment w:val="center"/>
              <w:rPr>
                <w:rFonts w:hint="eastAsia" w:ascii="宋体" w:hAnsi="宋体" w:eastAsia="宋体" w:cs="宋体"/>
                <w:color w:val="000000"/>
                <w:kern w:val="0"/>
                <w:sz w:val="18"/>
                <w:szCs w:val="18"/>
                <w:lang w:bidi="ar"/>
              </w:rPr>
            </w:pPr>
          </w:p>
        </w:tc>
        <w:tc>
          <w:tcPr>
            <w:tcW w:w="730" w:type="dxa"/>
            <w:noWrap w:val="0"/>
            <w:vAlign w:val="center"/>
          </w:tcPr>
          <w:p w14:paraId="323BFA5D">
            <w:pPr>
              <w:widowControl/>
              <w:spacing w:line="240" w:lineRule="auto"/>
              <w:jc w:val="center"/>
              <w:textAlignment w:val="center"/>
              <w:rPr>
                <w:rFonts w:hint="eastAsia" w:ascii="宋体" w:hAnsi="宋体" w:eastAsia="宋体" w:cs="宋体"/>
                <w:kern w:val="0"/>
                <w:sz w:val="20"/>
                <w:szCs w:val="20"/>
                <w:lang w:bidi="ar"/>
              </w:rPr>
            </w:pPr>
          </w:p>
        </w:tc>
        <w:tc>
          <w:tcPr>
            <w:tcW w:w="720" w:type="dxa"/>
            <w:noWrap w:val="0"/>
            <w:vAlign w:val="center"/>
          </w:tcPr>
          <w:p w14:paraId="5838D966">
            <w:pPr>
              <w:spacing w:line="240" w:lineRule="auto"/>
              <w:jc w:val="left"/>
              <w:rPr>
                <w:rFonts w:hint="eastAsia" w:ascii="宋体" w:hAnsi="宋体" w:eastAsia="宋体" w:cs="宋体"/>
                <w:kern w:val="0"/>
                <w:sz w:val="20"/>
                <w:szCs w:val="20"/>
                <w:lang w:bidi="ar"/>
              </w:rPr>
            </w:pPr>
          </w:p>
        </w:tc>
        <w:tc>
          <w:tcPr>
            <w:tcW w:w="552" w:type="dxa"/>
            <w:noWrap w:val="0"/>
            <w:vAlign w:val="center"/>
          </w:tcPr>
          <w:p w14:paraId="1CD44685">
            <w:pPr>
              <w:widowControl/>
              <w:spacing w:line="240" w:lineRule="auto"/>
              <w:jc w:val="center"/>
              <w:textAlignment w:val="center"/>
              <w:rPr>
                <w:rFonts w:hint="eastAsia" w:ascii="宋体" w:hAnsi="宋体" w:eastAsia="宋体" w:cs="宋体"/>
                <w:kern w:val="0"/>
                <w:sz w:val="20"/>
                <w:szCs w:val="20"/>
                <w:lang w:bidi="ar"/>
              </w:rPr>
            </w:pPr>
          </w:p>
        </w:tc>
      </w:tr>
    </w:tbl>
    <w:p w14:paraId="7DA5AD3E">
      <w:pPr>
        <w:spacing w:line="576" w:lineRule="exact"/>
        <w:jc w:val="both"/>
        <w:rPr>
          <w:rFonts w:hint="eastAsia" w:ascii="Times New Roman" w:hAnsi="Times New Roman" w:eastAsia="宋体" w:cs="Times New Roman"/>
          <w:b/>
          <w:bCs w:val="0"/>
          <w:kern w:val="0"/>
          <w:sz w:val="21"/>
          <w:szCs w:val="24"/>
          <w:highlight w:val="none"/>
          <w:lang w:val="zh-CN"/>
        </w:rPr>
      </w:pPr>
    </w:p>
    <w:p w14:paraId="6AE33432">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r>
        <w:rPr>
          <w:rFonts w:hint="default" w:ascii="仿宋_GB2312" w:hAnsi="仿宋_GB2312" w:eastAsia="仿宋_GB2312" w:cs="仿宋_GB2312"/>
          <w:b/>
          <w:bCs/>
          <w:spacing w:val="0"/>
          <w:kern w:val="2"/>
          <w:sz w:val="24"/>
          <w:szCs w:val="24"/>
          <w:lang w:val="en-US" w:eastAsia="zh-CN" w:bidi="ar-SA"/>
        </w:rPr>
        <w:t>注：</w:t>
      </w:r>
      <w:r>
        <w:rPr>
          <w:rFonts w:hint="eastAsia" w:ascii="仿宋_GB2312" w:hAnsi="仿宋_GB2312" w:eastAsia="仿宋_GB2312" w:cs="仿宋_GB2312"/>
          <w:b/>
          <w:bCs/>
          <w:spacing w:val="0"/>
          <w:kern w:val="2"/>
          <w:sz w:val="24"/>
          <w:szCs w:val="24"/>
          <w:lang w:val="en-US" w:eastAsia="zh-CN" w:bidi="ar-SA"/>
        </w:rPr>
        <w:t>报价人</w:t>
      </w:r>
      <w:r>
        <w:rPr>
          <w:rFonts w:hint="default" w:ascii="仿宋_GB2312" w:hAnsi="仿宋_GB2312" w:eastAsia="仿宋_GB2312" w:cs="仿宋_GB2312"/>
          <w:b/>
          <w:bCs/>
          <w:spacing w:val="0"/>
          <w:kern w:val="2"/>
          <w:sz w:val="24"/>
          <w:szCs w:val="24"/>
          <w:lang w:val="en-US" w:eastAsia="zh-CN" w:bidi="ar-SA"/>
        </w:rPr>
        <w:t>须根据技术规范书要求，补充填写供货清单。上述设备名称及数量为</w:t>
      </w:r>
      <w:r>
        <w:rPr>
          <w:rFonts w:hint="eastAsia" w:ascii="仿宋_GB2312" w:hAnsi="仿宋_GB2312" w:eastAsia="仿宋_GB2312" w:cs="仿宋_GB2312"/>
          <w:b/>
          <w:bCs/>
          <w:spacing w:val="0"/>
          <w:kern w:val="2"/>
          <w:sz w:val="24"/>
          <w:szCs w:val="24"/>
          <w:lang w:val="en-US" w:eastAsia="zh-CN" w:bidi="ar-SA"/>
        </w:rPr>
        <w:t>采购</w:t>
      </w:r>
      <w:r>
        <w:rPr>
          <w:rFonts w:hint="default" w:ascii="仿宋_GB2312" w:hAnsi="仿宋_GB2312" w:eastAsia="仿宋_GB2312" w:cs="仿宋_GB2312"/>
          <w:b/>
          <w:bCs/>
          <w:spacing w:val="0"/>
          <w:kern w:val="2"/>
          <w:sz w:val="24"/>
          <w:szCs w:val="24"/>
          <w:lang w:val="en-US" w:eastAsia="zh-CN" w:bidi="ar-SA"/>
        </w:rPr>
        <w:t>人预估项，</w:t>
      </w:r>
      <w:r>
        <w:rPr>
          <w:rFonts w:hint="eastAsia" w:ascii="仿宋_GB2312" w:hAnsi="仿宋_GB2312" w:eastAsia="仿宋_GB2312" w:cs="仿宋_GB2312"/>
          <w:b/>
          <w:bCs/>
          <w:spacing w:val="0"/>
          <w:kern w:val="2"/>
          <w:sz w:val="24"/>
          <w:szCs w:val="24"/>
          <w:lang w:val="en-US" w:eastAsia="zh-CN" w:bidi="ar-SA"/>
        </w:rPr>
        <w:t>报价人</w:t>
      </w:r>
      <w:r>
        <w:rPr>
          <w:rFonts w:hint="default" w:ascii="仿宋_GB2312" w:hAnsi="仿宋_GB2312" w:eastAsia="仿宋_GB2312" w:cs="仿宋_GB2312"/>
          <w:b/>
          <w:bCs/>
          <w:spacing w:val="0"/>
          <w:kern w:val="2"/>
          <w:sz w:val="24"/>
          <w:szCs w:val="24"/>
          <w:lang w:val="en-US" w:eastAsia="zh-CN" w:bidi="ar-SA"/>
        </w:rPr>
        <w:t>可根据自身对项目及现场情况的了解自行增加合理的设备或数量，合同履行过程中，乙方应保证供货满足本项目需求，填报数量不满足项目需求的，由乙方免费提供，合同金额不因此发生变更。</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5E69A05E"/>
    <w:multiLevelType w:val="singleLevel"/>
    <w:tmpl w:val="5E69A05E"/>
    <w:lvl w:ilvl="0" w:tentative="0">
      <w:start w:val="2"/>
      <w:numFmt w:val="decimal"/>
      <w:suff w:val="nothing"/>
      <w:lvlText w:val="%1、"/>
      <w:lvlJc w:val="left"/>
    </w:lvl>
  </w:abstractNum>
  <w:abstractNum w:abstractNumId="2">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10A81229"/>
    <w:rsid w:val="16D31F07"/>
    <w:rsid w:val="1758BED3"/>
    <w:rsid w:val="17B75C23"/>
    <w:rsid w:val="1A421E88"/>
    <w:rsid w:val="1DFF92BC"/>
    <w:rsid w:val="1FBCF500"/>
    <w:rsid w:val="1FE1C878"/>
    <w:rsid w:val="1FEB4F23"/>
    <w:rsid w:val="1FF7CF0F"/>
    <w:rsid w:val="239321B0"/>
    <w:rsid w:val="25837C33"/>
    <w:rsid w:val="259049AF"/>
    <w:rsid w:val="2ED987BC"/>
    <w:rsid w:val="2F707FF5"/>
    <w:rsid w:val="2FFBDF4F"/>
    <w:rsid w:val="34386B83"/>
    <w:rsid w:val="35161E0F"/>
    <w:rsid w:val="365F301D"/>
    <w:rsid w:val="3719724C"/>
    <w:rsid w:val="37DFDA19"/>
    <w:rsid w:val="38DE1969"/>
    <w:rsid w:val="3AEA0E11"/>
    <w:rsid w:val="3BD94012"/>
    <w:rsid w:val="3BEF7167"/>
    <w:rsid w:val="3D6F0EE7"/>
    <w:rsid w:val="3EF3CF6B"/>
    <w:rsid w:val="3EF6A9E8"/>
    <w:rsid w:val="3EFB2DE2"/>
    <w:rsid w:val="3FE36395"/>
    <w:rsid w:val="3FFB4C0B"/>
    <w:rsid w:val="3FFF6EAA"/>
    <w:rsid w:val="44886EDC"/>
    <w:rsid w:val="47BB059D"/>
    <w:rsid w:val="47FFE8DC"/>
    <w:rsid w:val="48B77156"/>
    <w:rsid w:val="4C3D1F0A"/>
    <w:rsid w:val="4CBFE054"/>
    <w:rsid w:val="530A51E9"/>
    <w:rsid w:val="53BF30CD"/>
    <w:rsid w:val="57391ECC"/>
    <w:rsid w:val="5768BD2C"/>
    <w:rsid w:val="5BEBA5F5"/>
    <w:rsid w:val="5CD367C0"/>
    <w:rsid w:val="5D7F61E3"/>
    <w:rsid w:val="5EEF793D"/>
    <w:rsid w:val="5F4B4881"/>
    <w:rsid w:val="5FB79AE6"/>
    <w:rsid w:val="5FD75E52"/>
    <w:rsid w:val="5FDF428F"/>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F577AD"/>
    <w:rsid w:val="754F10B1"/>
    <w:rsid w:val="75EF8489"/>
    <w:rsid w:val="76CE59CF"/>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B1BFA"/>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14447</Words>
  <Characters>14974</Characters>
  <Lines>1</Lines>
  <Paragraphs>1</Paragraphs>
  <TotalTime>1</TotalTime>
  <ScaleCrop>false</ScaleCrop>
  <LinksUpToDate>false</LinksUpToDate>
  <CharactersWithSpaces>15360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2025-08-15T05:43:43Z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E9B8FA05C4DFA39F2D909C6870B61FA2_43</vt:lpwstr>
  </property>
  <property fmtid="{D5CDD505-2E9C-101B-9397-08002B2CF9AE}" pid="4" name="KSOTemplateDocerSaveRecord">
    <vt:lpwstr>eyJoZGlkIjoiYzI3MGUyNjNlZjJmODVhN2U3MmNhMDYzNDAyNDNhZjciLCJ1c2VySWQiOiIxMjcxNDcxMzM3In0=</vt:lpwstr>
  </property>
</Properties>
</file>