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8BD6B">
      <w:pPr>
        <w:tabs>
          <w:tab w:val="left" w:pos="1701"/>
        </w:tabs>
        <w:spacing w:line="360" w:lineRule="auto"/>
        <w:jc w:val="center"/>
        <w:rPr>
          <w:rFonts w:hint="eastAsia" w:asciiTheme="minorEastAsia" w:hAnsiTheme="minorEastAsia" w:eastAsiaTheme="minorEastAsia" w:cstheme="minorEastAsia"/>
          <w:b/>
          <w:bCs/>
          <w:color w:val="auto"/>
          <w:sz w:val="44"/>
          <w:szCs w:val="44"/>
          <w:highlight w:val="none"/>
        </w:rPr>
      </w:pPr>
    </w:p>
    <w:p w14:paraId="4C4BF873">
      <w:pPr>
        <w:tabs>
          <w:tab w:val="left" w:pos="1701"/>
        </w:tabs>
        <w:spacing w:line="360" w:lineRule="auto"/>
        <w:jc w:val="center"/>
        <w:rPr>
          <w:rFonts w:hint="eastAsia" w:asciiTheme="minorEastAsia" w:hAnsiTheme="minorEastAsia" w:eastAsiaTheme="minorEastAsia" w:cstheme="minorEastAsia"/>
          <w:b/>
          <w:bCs/>
          <w:color w:val="auto"/>
          <w:sz w:val="44"/>
          <w:szCs w:val="44"/>
          <w:highlight w:val="none"/>
        </w:rPr>
      </w:pPr>
    </w:p>
    <w:p w14:paraId="66EBCE00">
      <w:pPr>
        <w:tabs>
          <w:tab w:val="left" w:pos="1701"/>
        </w:tabs>
        <w:spacing w:line="360" w:lineRule="auto"/>
        <w:jc w:val="center"/>
        <w:rPr>
          <w:rFonts w:hint="eastAsia" w:asciiTheme="minorEastAsia" w:hAnsiTheme="minorEastAsia" w:eastAsiaTheme="minorEastAsia" w:cstheme="minorEastAsia"/>
          <w:b/>
          <w:bCs/>
          <w:color w:val="auto"/>
          <w:sz w:val="44"/>
          <w:szCs w:val="44"/>
          <w:highlight w:val="none"/>
        </w:rPr>
      </w:pPr>
    </w:p>
    <w:p w14:paraId="56984B88">
      <w:pPr>
        <w:tabs>
          <w:tab w:val="left" w:pos="1701"/>
        </w:tabs>
        <w:spacing w:line="360" w:lineRule="auto"/>
        <w:jc w:val="center"/>
        <w:rPr>
          <w:rFonts w:hint="eastAsia" w:asciiTheme="minorEastAsia" w:hAnsiTheme="minorEastAsia" w:eastAsiaTheme="minorEastAsia" w:cstheme="minorEastAsia"/>
          <w:b/>
          <w:bCs/>
          <w:color w:val="auto"/>
          <w:sz w:val="44"/>
          <w:szCs w:val="44"/>
          <w:highlight w:val="none"/>
        </w:rPr>
      </w:pPr>
    </w:p>
    <w:p w14:paraId="6918C160">
      <w:pPr>
        <w:tabs>
          <w:tab w:val="left" w:pos="1701"/>
        </w:tabs>
        <w:spacing w:line="360" w:lineRule="auto"/>
        <w:jc w:val="center"/>
        <w:rPr>
          <w:rFonts w:hint="eastAsia" w:asciiTheme="minorEastAsia" w:hAnsiTheme="minorEastAsia" w:eastAsiaTheme="minorEastAsia" w:cstheme="minorEastAsia"/>
          <w:b/>
          <w:bCs/>
          <w:color w:val="auto"/>
          <w:sz w:val="44"/>
          <w:szCs w:val="44"/>
          <w:highlight w:val="none"/>
        </w:rPr>
      </w:pPr>
    </w:p>
    <w:p w14:paraId="04C9E6F6">
      <w:pPr>
        <w:tabs>
          <w:tab w:val="left" w:pos="1701"/>
        </w:tabs>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四川泸州川南发电有限责任公司</w:t>
      </w:r>
    </w:p>
    <w:p w14:paraId="69E60807">
      <w:pPr>
        <w:spacing w:line="360" w:lineRule="auto"/>
        <w:jc w:val="center"/>
        <w:rPr>
          <w:rFonts w:hint="eastAsia" w:asciiTheme="minorEastAsia" w:hAnsiTheme="minorEastAsia" w:eastAsiaTheme="minorEastAsia" w:cstheme="minorEastAsia"/>
          <w:color w:val="auto"/>
          <w:sz w:val="21"/>
          <w:szCs w:val="21"/>
          <w:highlight w:val="none"/>
        </w:rPr>
      </w:pPr>
    </w:p>
    <w:p w14:paraId="7A996712">
      <w:pPr>
        <w:spacing w:line="360" w:lineRule="auto"/>
        <w:jc w:val="center"/>
        <w:rPr>
          <w:rFonts w:hint="default"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安防及监控系统维护</w:t>
      </w:r>
    </w:p>
    <w:p w14:paraId="60487409">
      <w:pPr>
        <w:spacing w:line="360" w:lineRule="auto"/>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技术规范书</w:t>
      </w:r>
    </w:p>
    <w:p w14:paraId="11559949">
      <w:pPr>
        <w:spacing w:line="360" w:lineRule="auto"/>
        <w:jc w:val="center"/>
        <w:rPr>
          <w:rFonts w:hint="eastAsia" w:asciiTheme="minorEastAsia" w:hAnsiTheme="minorEastAsia" w:eastAsiaTheme="minorEastAsia" w:cstheme="minorEastAsia"/>
          <w:color w:val="auto"/>
          <w:sz w:val="21"/>
          <w:szCs w:val="21"/>
          <w:highlight w:val="none"/>
        </w:rPr>
      </w:pPr>
    </w:p>
    <w:p w14:paraId="5A0296A9">
      <w:pPr>
        <w:spacing w:line="360" w:lineRule="auto"/>
        <w:jc w:val="center"/>
        <w:rPr>
          <w:rFonts w:hint="eastAsia" w:asciiTheme="minorEastAsia" w:hAnsiTheme="minorEastAsia" w:eastAsiaTheme="minorEastAsia" w:cstheme="minorEastAsia"/>
          <w:color w:val="auto"/>
          <w:sz w:val="21"/>
          <w:szCs w:val="21"/>
          <w:highlight w:val="none"/>
        </w:rPr>
      </w:pPr>
    </w:p>
    <w:p w14:paraId="26A60CF8">
      <w:pPr>
        <w:spacing w:line="360" w:lineRule="auto"/>
        <w:jc w:val="center"/>
        <w:rPr>
          <w:rFonts w:hint="eastAsia" w:asciiTheme="minorEastAsia" w:hAnsiTheme="minorEastAsia" w:eastAsiaTheme="minorEastAsia" w:cstheme="minorEastAsia"/>
          <w:color w:val="auto"/>
          <w:sz w:val="21"/>
          <w:szCs w:val="21"/>
          <w:highlight w:val="none"/>
        </w:rPr>
      </w:pPr>
    </w:p>
    <w:p w14:paraId="5AA472C3">
      <w:pPr>
        <w:spacing w:line="360" w:lineRule="auto"/>
        <w:jc w:val="center"/>
        <w:rPr>
          <w:rFonts w:hint="eastAsia" w:asciiTheme="minorEastAsia" w:hAnsiTheme="minorEastAsia" w:eastAsiaTheme="minorEastAsia" w:cstheme="minorEastAsia"/>
          <w:color w:val="auto"/>
          <w:sz w:val="21"/>
          <w:szCs w:val="21"/>
          <w:highlight w:val="none"/>
        </w:rPr>
      </w:pPr>
    </w:p>
    <w:p w14:paraId="04CF398B">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12D06AA7">
      <w:pPr>
        <w:spacing w:line="360" w:lineRule="auto"/>
        <w:jc w:val="center"/>
        <w:rPr>
          <w:rFonts w:hint="eastAsia" w:asciiTheme="minorEastAsia" w:hAnsiTheme="minorEastAsia" w:eastAsiaTheme="minorEastAsia" w:cstheme="minorEastAsia"/>
          <w:color w:val="auto"/>
          <w:sz w:val="21"/>
          <w:szCs w:val="21"/>
          <w:highlight w:val="none"/>
        </w:rPr>
      </w:pPr>
    </w:p>
    <w:p w14:paraId="736CB52D">
      <w:pPr>
        <w:spacing w:line="360" w:lineRule="auto"/>
        <w:jc w:val="center"/>
        <w:rPr>
          <w:rFonts w:hint="eastAsia" w:asciiTheme="minorEastAsia" w:hAnsiTheme="minorEastAsia" w:eastAsiaTheme="minorEastAsia" w:cstheme="minorEastAsia"/>
          <w:color w:val="auto"/>
          <w:sz w:val="21"/>
          <w:szCs w:val="21"/>
          <w:highlight w:val="none"/>
        </w:rPr>
      </w:pPr>
    </w:p>
    <w:p w14:paraId="1EFC0905">
      <w:pPr>
        <w:spacing w:line="360" w:lineRule="auto"/>
        <w:jc w:val="center"/>
        <w:rPr>
          <w:rFonts w:hint="eastAsia" w:asciiTheme="minorEastAsia" w:hAnsiTheme="minorEastAsia" w:eastAsiaTheme="minorEastAsia" w:cstheme="minorEastAsia"/>
          <w:color w:val="auto"/>
          <w:sz w:val="21"/>
          <w:szCs w:val="21"/>
          <w:highlight w:val="none"/>
        </w:rPr>
      </w:pPr>
    </w:p>
    <w:p w14:paraId="7DE890B2">
      <w:pPr>
        <w:spacing w:line="360" w:lineRule="auto"/>
        <w:jc w:val="center"/>
        <w:rPr>
          <w:rFonts w:hint="eastAsia" w:asciiTheme="minorEastAsia" w:hAnsiTheme="minorEastAsia" w:eastAsiaTheme="minorEastAsia" w:cstheme="minorEastAsia"/>
          <w:color w:val="auto"/>
          <w:sz w:val="21"/>
          <w:szCs w:val="21"/>
          <w:highlight w:val="none"/>
        </w:rPr>
      </w:pPr>
    </w:p>
    <w:p w14:paraId="0C371756">
      <w:pPr>
        <w:spacing w:line="360" w:lineRule="auto"/>
        <w:jc w:val="center"/>
        <w:rPr>
          <w:rFonts w:hint="eastAsia" w:asciiTheme="minorEastAsia" w:hAnsiTheme="minorEastAsia" w:eastAsiaTheme="minorEastAsia" w:cstheme="minorEastAsia"/>
          <w:color w:val="auto"/>
          <w:sz w:val="21"/>
          <w:szCs w:val="21"/>
          <w:highlight w:val="none"/>
        </w:rPr>
      </w:pPr>
    </w:p>
    <w:p w14:paraId="66D2C7C7">
      <w:pPr>
        <w:spacing w:line="360" w:lineRule="auto"/>
        <w:jc w:val="center"/>
        <w:rPr>
          <w:rFonts w:hint="eastAsia" w:asciiTheme="minorEastAsia" w:hAnsiTheme="minorEastAsia" w:eastAsiaTheme="minorEastAsia" w:cstheme="minorEastAsia"/>
          <w:color w:val="auto"/>
          <w:sz w:val="21"/>
          <w:szCs w:val="21"/>
          <w:highlight w:val="none"/>
        </w:rPr>
      </w:pPr>
    </w:p>
    <w:p w14:paraId="72329347">
      <w:pPr>
        <w:spacing w:line="360" w:lineRule="auto"/>
        <w:jc w:val="center"/>
        <w:rPr>
          <w:rFonts w:hint="eastAsia" w:asciiTheme="minorEastAsia" w:hAnsiTheme="minorEastAsia" w:eastAsiaTheme="minorEastAsia" w:cstheme="minorEastAsia"/>
          <w:color w:val="auto"/>
          <w:sz w:val="21"/>
          <w:szCs w:val="21"/>
          <w:highlight w:val="none"/>
        </w:rPr>
      </w:pPr>
    </w:p>
    <w:p w14:paraId="53520649">
      <w:pPr>
        <w:spacing w:line="360" w:lineRule="auto"/>
        <w:jc w:val="center"/>
        <w:rPr>
          <w:rFonts w:hint="eastAsia" w:asciiTheme="minorEastAsia" w:hAnsiTheme="minorEastAsia" w:eastAsiaTheme="minorEastAsia" w:cstheme="minorEastAsia"/>
          <w:color w:val="auto"/>
          <w:sz w:val="21"/>
          <w:szCs w:val="21"/>
          <w:highlight w:val="none"/>
        </w:rPr>
      </w:pPr>
    </w:p>
    <w:p w14:paraId="54DD1AD0">
      <w:pPr>
        <w:spacing w:line="360" w:lineRule="auto"/>
        <w:jc w:val="center"/>
        <w:rPr>
          <w:rFonts w:hint="eastAsia" w:asciiTheme="minorEastAsia" w:hAnsiTheme="minorEastAsia" w:eastAsiaTheme="minorEastAsia" w:cstheme="minorEastAsia"/>
          <w:color w:val="auto"/>
          <w:sz w:val="21"/>
          <w:szCs w:val="21"/>
          <w:highlight w:val="none"/>
        </w:rPr>
      </w:pPr>
    </w:p>
    <w:p w14:paraId="7D2D2FE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四川泸州川南发电有限责任公司</w:t>
      </w:r>
    </w:p>
    <w:p w14:paraId="3850D7FF">
      <w:pPr>
        <w:spacing w:line="360" w:lineRule="auto"/>
        <w:jc w:val="center"/>
        <w:rPr>
          <w:rFonts w:hint="eastAsia" w:asciiTheme="minorEastAsia" w:hAnsiTheme="minorEastAsia" w:eastAsiaTheme="minorEastAsia" w:cstheme="minorEastAsia"/>
          <w:color w:val="auto"/>
          <w:sz w:val="21"/>
          <w:szCs w:val="21"/>
          <w:highlight w:val="none"/>
        </w:rPr>
        <w:sectPr>
          <w:headerReference r:id="rId4" w:type="first"/>
          <w:headerReference r:id="rId3" w:type="default"/>
          <w:footerReference r:id="rId5" w:type="default"/>
          <w:footerReference r:id="rId6" w:type="even"/>
          <w:pgSz w:w="11906" w:h="16838"/>
          <w:pgMar w:top="1418" w:right="1678" w:bottom="1418" w:left="1298"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r>
        <w:rPr>
          <w:rFonts w:hint="eastAsia" w:asciiTheme="minorEastAsia" w:hAnsiTheme="minorEastAsia" w:eastAsiaTheme="minorEastAsia" w:cstheme="minorEastAsia"/>
          <w:b/>
          <w:color w:val="auto"/>
          <w:sz w:val="21"/>
          <w:szCs w:val="21"/>
          <w:highlight w:val="none"/>
        </w:rPr>
        <w:t>二〇二五年</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月  四川·泸州</w:t>
      </w:r>
    </w:p>
    <w:sdt>
      <w:sdtPr>
        <w:rPr>
          <w:rFonts w:ascii="宋体" w:hAnsi="宋体" w:eastAsia="宋体" w:cs="Times New Roman"/>
          <w:kern w:val="2"/>
          <w:sz w:val="21"/>
          <w:szCs w:val="22"/>
          <w:lang w:val="en-US" w:eastAsia="zh-CN" w:bidi="ar-SA"/>
        </w:rPr>
        <w:id w:val="147476801"/>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4223ECC2">
          <w:pPr>
            <w:spacing w:before="0" w:beforeLines="0" w:after="0" w:afterLines="0" w:line="240" w:lineRule="auto"/>
            <w:ind w:left="0" w:leftChars="0" w:right="0" w:rightChars="0" w:firstLine="0" w:firstLineChars="0"/>
            <w:jc w:val="center"/>
          </w:pPr>
          <w:bookmarkStart w:id="0" w:name="_Toc5549"/>
          <w:bookmarkStart w:id="1" w:name="_Toc9640"/>
          <w:bookmarkStart w:id="2" w:name="_Toc430783710"/>
          <w:bookmarkStart w:id="3" w:name="_Toc459361976"/>
          <w:bookmarkStart w:id="4" w:name="_Toc6870"/>
          <w:r>
            <w:rPr>
              <w:rFonts w:ascii="宋体" w:hAnsi="宋体" w:eastAsia="宋体"/>
              <w:sz w:val="21"/>
            </w:rPr>
            <w:t>目录</w:t>
          </w:r>
        </w:p>
        <w:p w14:paraId="2255CEEF">
          <w:pPr>
            <w:pStyle w:val="10"/>
            <w:tabs>
              <w:tab w:val="right" w:leader="dot" w:pos="8306"/>
            </w:tabs>
          </w:pPr>
          <w:r>
            <w:rPr>
              <w:sz w:val="24"/>
              <w:szCs w:val="28"/>
            </w:rPr>
            <w:fldChar w:fldCharType="begin"/>
          </w:r>
          <w:r>
            <w:rPr>
              <w:sz w:val="24"/>
              <w:szCs w:val="28"/>
            </w:rPr>
            <w:instrText xml:space="preserve">TOC \o "1-1" \h \u </w:instrText>
          </w:r>
          <w:r>
            <w:rPr>
              <w:sz w:val="24"/>
              <w:szCs w:val="28"/>
            </w:rPr>
            <w:fldChar w:fldCharType="separate"/>
          </w:r>
          <w:r>
            <w:rPr>
              <w:szCs w:val="28"/>
            </w:rPr>
            <w:fldChar w:fldCharType="begin"/>
          </w:r>
          <w:r>
            <w:rPr>
              <w:szCs w:val="28"/>
            </w:rPr>
            <w:instrText xml:space="preserve"> HYPERLINK \l _Toc23373 </w:instrText>
          </w:r>
          <w:r>
            <w:rPr>
              <w:szCs w:val="28"/>
            </w:rPr>
            <w:fldChar w:fldCharType="separate"/>
          </w:r>
          <w:r>
            <w:rPr>
              <w:rFonts w:hint="default" w:ascii="Calibri" w:hAnsi="Calibri" w:cs="Calibri" w:eastAsiaTheme="minorEastAsia"/>
              <w:szCs w:val="21"/>
            </w:rPr>
            <w:t xml:space="preserve">1． </w:t>
          </w:r>
          <w:r>
            <w:rPr>
              <w:rFonts w:hint="eastAsia" w:asciiTheme="minorEastAsia" w:hAnsiTheme="minorEastAsia" w:eastAsiaTheme="minorEastAsia" w:cstheme="minorEastAsia"/>
              <w:szCs w:val="21"/>
              <w:highlight w:val="none"/>
            </w:rPr>
            <w:t>总则</w:t>
          </w:r>
          <w:r>
            <w:tab/>
          </w:r>
          <w:r>
            <w:fldChar w:fldCharType="begin"/>
          </w:r>
          <w:r>
            <w:instrText xml:space="preserve"> PAGEREF _Toc23373 \h </w:instrText>
          </w:r>
          <w:r>
            <w:fldChar w:fldCharType="separate"/>
          </w:r>
          <w:r>
            <w:t>2</w:t>
          </w:r>
          <w:r>
            <w:fldChar w:fldCharType="end"/>
          </w:r>
          <w:r>
            <w:rPr>
              <w:szCs w:val="28"/>
            </w:rPr>
            <w:fldChar w:fldCharType="end"/>
          </w:r>
        </w:p>
        <w:p w14:paraId="45467C25">
          <w:pPr>
            <w:pStyle w:val="10"/>
            <w:tabs>
              <w:tab w:val="right" w:leader="dot" w:pos="8306"/>
            </w:tabs>
          </w:pPr>
          <w:r>
            <w:rPr>
              <w:szCs w:val="22"/>
            </w:rPr>
            <w:fldChar w:fldCharType="begin"/>
          </w:r>
          <w:r>
            <w:rPr>
              <w:szCs w:val="22"/>
            </w:rPr>
            <w:instrText xml:space="preserve"> HYPERLINK \l _Toc16098 </w:instrText>
          </w:r>
          <w:r>
            <w:rPr>
              <w:szCs w:val="22"/>
            </w:rPr>
            <w:fldChar w:fldCharType="separate"/>
          </w:r>
          <w:r>
            <w:rPr>
              <w:rFonts w:hint="default" w:ascii="Calibri" w:hAnsi="Calibri" w:cs="Calibri" w:eastAsiaTheme="minorEastAsia"/>
              <w:szCs w:val="21"/>
            </w:rPr>
            <w:t xml:space="preserve">2． </w:t>
          </w:r>
          <w:r>
            <w:rPr>
              <w:rFonts w:hint="eastAsia" w:asciiTheme="minorEastAsia" w:hAnsiTheme="minorEastAsia" w:eastAsiaTheme="minorEastAsia" w:cstheme="minorEastAsia"/>
              <w:szCs w:val="21"/>
              <w:highlight w:val="none"/>
            </w:rPr>
            <w:t>工程概况</w:t>
          </w:r>
          <w:r>
            <w:tab/>
          </w:r>
          <w:r>
            <w:fldChar w:fldCharType="begin"/>
          </w:r>
          <w:r>
            <w:instrText xml:space="preserve"> PAGEREF _Toc16098 \h </w:instrText>
          </w:r>
          <w:r>
            <w:fldChar w:fldCharType="separate"/>
          </w:r>
          <w:r>
            <w:t>2</w:t>
          </w:r>
          <w:r>
            <w:fldChar w:fldCharType="end"/>
          </w:r>
          <w:r>
            <w:rPr>
              <w:szCs w:val="22"/>
            </w:rPr>
            <w:fldChar w:fldCharType="end"/>
          </w:r>
        </w:p>
        <w:p w14:paraId="2B364942">
          <w:pPr>
            <w:pStyle w:val="10"/>
            <w:tabs>
              <w:tab w:val="right" w:leader="dot" w:pos="8306"/>
            </w:tabs>
          </w:pPr>
          <w:r>
            <w:rPr>
              <w:szCs w:val="22"/>
            </w:rPr>
            <w:fldChar w:fldCharType="begin"/>
          </w:r>
          <w:r>
            <w:rPr>
              <w:szCs w:val="22"/>
            </w:rPr>
            <w:instrText xml:space="preserve"> HYPERLINK \l _Toc14753 </w:instrText>
          </w:r>
          <w:r>
            <w:rPr>
              <w:szCs w:val="22"/>
            </w:rPr>
            <w:fldChar w:fldCharType="separate"/>
          </w:r>
          <w:r>
            <w:rPr>
              <w:rFonts w:hint="default" w:ascii="Calibri" w:hAnsi="Calibri" w:cs="Calibri" w:eastAsiaTheme="minorEastAsia"/>
              <w:szCs w:val="21"/>
            </w:rPr>
            <w:t xml:space="preserve">3． </w:t>
          </w:r>
          <w:r>
            <w:rPr>
              <w:rFonts w:hint="eastAsia" w:asciiTheme="minorEastAsia" w:hAnsiTheme="minorEastAsia" w:eastAsiaTheme="minorEastAsia" w:cstheme="minorEastAsia"/>
              <w:szCs w:val="21"/>
              <w:highlight w:val="none"/>
            </w:rPr>
            <w:t>标准规范</w:t>
          </w:r>
          <w:r>
            <w:tab/>
          </w:r>
          <w:r>
            <w:fldChar w:fldCharType="begin"/>
          </w:r>
          <w:r>
            <w:instrText xml:space="preserve"> PAGEREF _Toc14753 \h </w:instrText>
          </w:r>
          <w:r>
            <w:fldChar w:fldCharType="separate"/>
          </w:r>
          <w:r>
            <w:t>3</w:t>
          </w:r>
          <w:r>
            <w:fldChar w:fldCharType="end"/>
          </w:r>
          <w:r>
            <w:rPr>
              <w:szCs w:val="22"/>
            </w:rPr>
            <w:fldChar w:fldCharType="end"/>
          </w:r>
        </w:p>
        <w:p w14:paraId="710ABBC0">
          <w:pPr>
            <w:pStyle w:val="10"/>
            <w:tabs>
              <w:tab w:val="right" w:leader="dot" w:pos="8306"/>
            </w:tabs>
          </w:pPr>
          <w:r>
            <w:rPr>
              <w:szCs w:val="22"/>
            </w:rPr>
            <w:fldChar w:fldCharType="begin"/>
          </w:r>
          <w:r>
            <w:rPr>
              <w:szCs w:val="22"/>
            </w:rPr>
            <w:instrText xml:space="preserve"> HYPERLINK \l _Toc7327 </w:instrText>
          </w:r>
          <w:r>
            <w:rPr>
              <w:szCs w:val="22"/>
            </w:rPr>
            <w:fldChar w:fldCharType="separate"/>
          </w:r>
          <w:r>
            <w:rPr>
              <w:rFonts w:hint="default" w:ascii="Calibri" w:hAnsi="Calibri" w:cs="Calibri"/>
              <w:szCs w:val="21"/>
            </w:rPr>
            <w:t xml:space="preserve">4． </w:t>
          </w:r>
          <w:r>
            <w:rPr>
              <w:rFonts w:hint="eastAsia" w:asciiTheme="minorEastAsia" w:hAnsiTheme="minorEastAsia" w:eastAsiaTheme="minorEastAsia" w:cstheme="minorEastAsia"/>
              <w:szCs w:val="21"/>
              <w:highlight w:val="none"/>
              <w:lang w:val="en-US" w:eastAsia="zh-CN"/>
            </w:rPr>
            <w:t>工作范围、内容及要求</w:t>
          </w:r>
          <w:r>
            <w:tab/>
          </w:r>
          <w:r>
            <w:fldChar w:fldCharType="begin"/>
          </w:r>
          <w:r>
            <w:instrText xml:space="preserve"> PAGEREF _Toc7327 \h </w:instrText>
          </w:r>
          <w:r>
            <w:fldChar w:fldCharType="separate"/>
          </w:r>
          <w:r>
            <w:t>4</w:t>
          </w:r>
          <w:r>
            <w:fldChar w:fldCharType="end"/>
          </w:r>
          <w:r>
            <w:rPr>
              <w:szCs w:val="22"/>
            </w:rPr>
            <w:fldChar w:fldCharType="end"/>
          </w:r>
        </w:p>
        <w:p w14:paraId="05A58FC8">
          <w:pPr>
            <w:pStyle w:val="10"/>
            <w:tabs>
              <w:tab w:val="right" w:leader="dot" w:pos="8306"/>
            </w:tabs>
          </w:pPr>
          <w:r>
            <w:rPr>
              <w:szCs w:val="22"/>
            </w:rPr>
            <w:fldChar w:fldCharType="begin"/>
          </w:r>
          <w:r>
            <w:rPr>
              <w:szCs w:val="22"/>
            </w:rPr>
            <w:instrText xml:space="preserve"> HYPERLINK \l _Toc28395 </w:instrText>
          </w:r>
          <w:r>
            <w:rPr>
              <w:szCs w:val="22"/>
            </w:rPr>
            <w:fldChar w:fldCharType="separate"/>
          </w:r>
          <w:r>
            <w:rPr>
              <w:rFonts w:hint="default" w:ascii="Calibri" w:hAnsi="Calibri" w:cs="Calibri" w:eastAsiaTheme="minorEastAsia"/>
              <w:szCs w:val="21"/>
            </w:rPr>
            <w:t xml:space="preserve">5． </w:t>
          </w:r>
          <w:r>
            <w:rPr>
              <w:rFonts w:hint="eastAsia" w:asciiTheme="minorEastAsia" w:hAnsiTheme="minorEastAsia" w:eastAsiaTheme="minorEastAsia" w:cstheme="minorEastAsia"/>
              <w:szCs w:val="21"/>
              <w:highlight w:val="none"/>
              <w:lang w:val="en-US" w:eastAsia="zh-CN"/>
            </w:rPr>
            <w:t>工程条款</w:t>
          </w:r>
          <w:r>
            <w:tab/>
          </w:r>
          <w:r>
            <w:fldChar w:fldCharType="begin"/>
          </w:r>
          <w:r>
            <w:instrText xml:space="preserve"> PAGEREF _Toc28395 \h </w:instrText>
          </w:r>
          <w:r>
            <w:fldChar w:fldCharType="separate"/>
          </w:r>
          <w:r>
            <w:t>6</w:t>
          </w:r>
          <w:r>
            <w:fldChar w:fldCharType="end"/>
          </w:r>
          <w:r>
            <w:rPr>
              <w:szCs w:val="22"/>
            </w:rPr>
            <w:fldChar w:fldCharType="end"/>
          </w:r>
        </w:p>
        <w:p w14:paraId="5AE1D506">
          <w:pPr>
            <w:pStyle w:val="10"/>
            <w:tabs>
              <w:tab w:val="right" w:leader="dot" w:pos="8306"/>
            </w:tabs>
          </w:pPr>
          <w:r>
            <w:rPr>
              <w:szCs w:val="22"/>
            </w:rPr>
            <w:fldChar w:fldCharType="begin"/>
          </w:r>
          <w:r>
            <w:rPr>
              <w:szCs w:val="22"/>
            </w:rPr>
            <w:instrText xml:space="preserve"> HYPERLINK \l _Toc26467 </w:instrText>
          </w:r>
          <w:r>
            <w:rPr>
              <w:szCs w:val="22"/>
            </w:rPr>
            <w:fldChar w:fldCharType="separate"/>
          </w:r>
          <w:r>
            <w:rPr>
              <w:rFonts w:hint="default" w:ascii="Calibri" w:hAnsi="Calibri" w:cs="Calibri" w:eastAsiaTheme="minorEastAsia"/>
              <w:szCs w:val="21"/>
              <w:lang w:val="en-US" w:eastAsia="zh-CN"/>
            </w:rPr>
            <w:t xml:space="preserve">6． </w:t>
          </w:r>
          <w:r>
            <w:rPr>
              <w:rFonts w:hint="eastAsia" w:asciiTheme="minorEastAsia" w:hAnsiTheme="minorEastAsia" w:eastAsiaTheme="minorEastAsia" w:cstheme="minorEastAsia"/>
              <w:szCs w:val="21"/>
              <w:highlight w:val="none"/>
              <w:lang w:val="en-US" w:eastAsia="zh-CN"/>
            </w:rPr>
            <w:t>组织机构</w:t>
          </w:r>
          <w:r>
            <w:tab/>
          </w:r>
          <w:r>
            <w:fldChar w:fldCharType="begin"/>
          </w:r>
          <w:r>
            <w:instrText xml:space="preserve"> PAGEREF _Toc26467 \h </w:instrText>
          </w:r>
          <w:r>
            <w:fldChar w:fldCharType="separate"/>
          </w:r>
          <w:r>
            <w:t>11</w:t>
          </w:r>
          <w:r>
            <w:fldChar w:fldCharType="end"/>
          </w:r>
          <w:r>
            <w:rPr>
              <w:szCs w:val="22"/>
            </w:rPr>
            <w:fldChar w:fldCharType="end"/>
          </w:r>
        </w:p>
        <w:p w14:paraId="1FA402BD">
          <w:pPr>
            <w:pStyle w:val="10"/>
            <w:tabs>
              <w:tab w:val="right" w:leader="dot" w:pos="8306"/>
            </w:tabs>
          </w:pPr>
          <w:r>
            <w:rPr>
              <w:szCs w:val="22"/>
            </w:rPr>
            <w:fldChar w:fldCharType="begin"/>
          </w:r>
          <w:r>
            <w:rPr>
              <w:szCs w:val="22"/>
            </w:rPr>
            <w:instrText xml:space="preserve"> HYPERLINK \l _Toc19541 </w:instrText>
          </w:r>
          <w:r>
            <w:rPr>
              <w:szCs w:val="22"/>
            </w:rPr>
            <w:fldChar w:fldCharType="separate"/>
          </w:r>
          <w:r>
            <w:rPr>
              <w:rFonts w:hint="default" w:ascii="Calibri" w:hAnsi="Calibri" w:cs="Calibri" w:eastAsiaTheme="minorEastAsia"/>
              <w:szCs w:val="21"/>
            </w:rPr>
            <w:t xml:space="preserve">7． </w:t>
          </w:r>
          <w:r>
            <w:rPr>
              <w:rFonts w:hint="eastAsia" w:asciiTheme="minorEastAsia" w:hAnsiTheme="minorEastAsia" w:eastAsiaTheme="minorEastAsia" w:cstheme="minorEastAsia"/>
              <w:szCs w:val="21"/>
              <w:highlight w:val="none"/>
              <w:lang w:val="en-US" w:eastAsia="zh-CN"/>
            </w:rPr>
            <w:t>项目期限</w:t>
          </w:r>
          <w:r>
            <w:tab/>
          </w:r>
          <w:r>
            <w:fldChar w:fldCharType="begin"/>
          </w:r>
          <w:r>
            <w:instrText xml:space="preserve"> PAGEREF _Toc19541 \h </w:instrText>
          </w:r>
          <w:r>
            <w:fldChar w:fldCharType="separate"/>
          </w:r>
          <w:r>
            <w:t>12</w:t>
          </w:r>
          <w:r>
            <w:fldChar w:fldCharType="end"/>
          </w:r>
          <w:r>
            <w:rPr>
              <w:szCs w:val="22"/>
            </w:rPr>
            <w:fldChar w:fldCharType="end"/>
          </w:r>
        </w:p>
        <w:p w14:paraId="10D92693">
          <w:pPr>
            <w:pStyle w:val="10"/>
            <w:tabs>
              <w:tab w:val="right" w:leader="dot" w:pos="8306"/>
            </w:tabs>
          </w:pPr>
          <w:r>
            <w:rPr>
              <w:szCs w:val="22"/>
            </w:rPr>
            <w:fldChar w:fldCharType="begin"/>
          </w:r>
          <w:r>
            <w:rPr>
              <w:szCs w:val="22"/>
            </w:rPr>
            <w:instrText xml:space="preserve"> HYPERLINK \l _Toc7453 </w:instrText>
          </w:r>
          <w:r>
            <w:rPr>
              <w:szCs w:val="22"/>
            </w:rPr>
            <w:fldChar w:fldCharType="separate"/>
          </w:r>
          <w:r>
            <w:rPr>
              <w:rFonts w:hint="eastAsia" w:ascii="宋体" w:hAnsi="宋体" w:eastAsia="宋体" w:cs="宋体"/>
              <w:bCs/>
              <w:szCs w:val="24"/>
            </w:rPr>
            <w:t>附件</w:t>
          </w:r>
          <w:r>
            <w:rPr>
              <w:rFonts w:hint="eastAsia" w:ascii="宋体" w:hAnsi="宋体" w:eastAsia="宋体" w:cs="宋体"/>
              <w:bCs/>
              <w:szCs w:val="24"/>
              <w:lang w:val="en-US" w:eastAsia="zh-CN"/>
            </w:rPr>
            <w:t>1</w:t>
          </w:r>
          <w:r>
            <w:rPr>
              <w:rFonts w:hint="eastAsia" w:ascii="宋体" w:hAnsi="宋体" w:eastAsia="宋体" w:cs="宋体"/>
              <w:bCs/>
              <w:szCs w:val="24"/>
            </w:rPr>
            <w:t>：</w:t>
          </w:r>
          <w:r>
            <w:rPr>
              <w:rFonts w:hint="eastAsia" w:ascii="宋体" w:hAnsi="宋体" w:eastAsia="宋体" w:cs="宋体"/>
              <w:szCs w:val="24"/>
            </w:rPr>
            <w:t>检修维护（试验）安全文明施工考核实施细则</w:t>
          </w:r>
          <w:r>
            <w:tab/>
          </w:r>
          <w:r>
            <w:fldChar w:fldCharType="begin"/>
          </w:r>
          <w:r>
            <w:instrText xml:space="preserve"> PAGEREF _Toc7453 \h </w:instrText>
          </w:r>
          <w:r>
            <w:fldChar w:fldCharType="separate"/>
          </w:r>
          <w:r>
            <w:t>13</w:t>
          </w:r>
          <w:r>
            <w:fldChar w:fldCharType="end"/>
          </w:r>
          <w:r>
            <w:rPr>
              <w:szCs w:val="22"/>
            </w:rPr>
            <w:fldChar w:fldCharType="end"/>
          </w:r>
        </w:p>
        <w:p w14:paraId="5B1D8E2C">
          <w:pPr>
            <w:spacing w:line="360" w:lineRule="auto"/>
          </w:pPr>
          <w:r>
            <w:rPr>
              <w:szCs w:val="22"/>
            </w:rPr>
            <w:fldChar w:fldCharType="end"/>
          </w:r>
        </w:p>
      </w:sdtContent>
    </w:sdt>
    <w:p w14:paraId="109259FC">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br w:type="page"/>
      </w:r>
    </w:p>
    <w:p w14:paraId="599A435F">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7" w:afterLines="50" w:line="360" w:lineRule="auto"/>
        <w:ind w:left="-420" w:firstLine="420"/>
        <w:textAlignment w:val="auto"/>
        <w:outlineLvl w:val="0"/>
        <w:rPr>
          <w:rFonts w:hint="eastAsia" w:asciiTheme="minorEastAsia" w:hAnsiTheme="minorEastAsia" w:eastAsiaTheme="minorEastAsia" w:cstheme="minorEastAsia"/>
          <w:color w:val="auto"/>
          <w:sz w:val="21"/>
          <w:szCs w:val="21"/>
          <w:highlight w:val="none"/>
        </w:rPr>
      </w:pPr>
      <w:bookmarkStart w:id="5" w:name="_Toc23373"/>
      <w:r>
        <w:rPr>
          <w:rFonts w:hint="eastAsia" w:asciiTheme="minorEastAsia" w:hAnsiTheme="minorEastAsia" w:eastAsiaTheme="minorEastAsia" w:cstheme="minorEastAsia"/>
          <w:color w:val="auto"/>
          <w:sz w:val="21"/>
          <w:szCs w:val="21"/>
          <w:highlight w:val="none"/>
        </w:rPr>
        <w:t>总则</w:t>
      </w:r>
      <w:bookmarkEnd w:id="0"/>
      <w:bookmarkEnd w:id="1"/>
      <w:bookmarkEnd w:id="2"/>
      <w:bookmarkEnd w:id="3"/>
      <w:bookmarkEnd w:id="4"/>
      <w:bookmarkEnd w:id="5"/>
    </w:p>
    <w:p w14:paraId="0D40B0F4">
      <w:pPr>
        <w:spacing w:line="360" w:lineRule="auto"/>
        <w:rPr>
          <w:rFonts w:hint="eastAsia" w:asciiTheme="minorEastAsia" w:hAnsiTheme="minorEastAsia" w:eastAsiaTheme="minorEastAsia" w:cstheme="minorEastAsia"/>
          <w:color w:val="auto"/>
          <w:sz w:val="21"/>
          <w:szCs w:val="21"/>
          <w:highlight w:val="none"/>
        </w:rPr>
      </w:pPr>
      <w:r>
        <w:rPr>
          <w:rFonts w:hint="default" w:ascii="Calibri" w:hAnsi="Calibri" w:cs="Calibri" w:eastAsia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rPr>
        <w:t xml:space="preserve"> 本技术规范适用于四川泸州川南发电有限责任公司</w:t>
      </w:r>
      <w:r>
        <w:rPr>
          <w:rFonts w:hint="eastAsia" w:asciiTheme="minorEastAsia" w:hAnsiTheme="minorEastAsia" w:eastAsiaTheme="minorEastAsia" w:cstheme="minorEastAsia"/>
          <w:color w:val="auto"/>
          <w:sz w:val="21"/>
          <w:szCs w:val="21"/>
          <w:highlight w:val="none"/>
          <w:lang w:val="en-US" w:eastAsia="zh-CN"/>
        </w:rPr>
        <w:t>安防及监控系统的委托维护</w:t>
      </w:r>
      <w:r>
        <w:rPr>
          <w:rFonts w:hint="eastAsia" w:asciiTheme="minorEastAsia" w:hAnsiTheme="minorEastAsia" w:eastAsiaTheme="minorEastAsia" w:cstheme="minorEastAsia"/>
          <w:color w:val="auto"/>
          <w:sz w:val="21"/>
          <w:szCs w:val="21"/>
          <w:highlight w:val="none"/>
        </w:rPr>
        <w:t>，本规范书提出了</w:t>
      </w:r>
      <w:bookmarkStart w:id="55" w:name="_GoBack"/>
      <w:r>
        <w:rPr>
          <w:rFonts w:hint="eastAsia" w:asciiTheme="minorEastAsia" w:hAnsiTheme="minorEastAsia" w:eastAsiaTheme="minorEastAsia" w:cstheme="minorEastAsia"/>
          <w:color w:val="auto"/>
          <w:sz w:val="21"/>
          <w:szCs w:val="21"/>
          <w:highlight w:val="none"/>
          <w:lang w:val="en-US" w:eastAsia="zh-CN"/>
        </w:rPr>
        <w:t>安防及监控系统维护</w:t>
      </w:r>
      <w:r>
        <w:rPr>
          <w:rFonts w:hint="eastAsia" w:asciiTheme="minorEastAsia" w:hAnsiTheme="minorEastAsia" w:eastAsiaTheme="minorEastAsia" w:cstheme="minorEastAsia"/>
          <w:color w:val="auto"/>
          <w:sz w:val="21"/>
          <w:szCs w:val="21"/>
          <w:highlight w:val="none"/>
        </w:rPr>
        <w:t>的标准、</w:t>
      </w:r>
      <w:r>
        <w:rPr>
          <w:rFonts w:hint="eastAsia" w:asciiTheme="minorEastAsia" w:hAnsiTheme="minorEastAsia" w:eastAsiaTheme="minorEastAsia" w:cstheme="minorEastAsia"/>
          <w:color w:val="auto"/>
          <w:sz w:val="21"/>
          <w:szCs w:val="21"/>
          <w:highlight w:val="none"/>
          <w:lang w:val="en-US" w:eastAsia="zh-CN"/>
        </w:rPr>
        <w:t>工作范围、工作内容、基本要求</w:t>
      </w:r>
      <w:r>
        <w:rPr>
          <w:rFonts w:hint="eastAsia" w:asciiTheme="minorEastAsia" w:hAnsiTheme="minorEastAsia" w:eastAsiaTheme="minorEastAsia" w:cstheme="minorEastAsia"/>
          <w:color w:val="auto"/>
          <w:sz w:val="21"/>
          <w:szCs w:val="21"/>
          <w:highlight w:val="none"/>
        </w:rPr>
        <w:t>及</w:t>
      </w:r>
      <w:r>
        <w:rPr>
          <w:rFonts w:hint="eastAsia" w:asciiTheme="minorEastAsia" w:hAnsiTheme="minorEastAsia" w:eastAsiaTheme="minorEastAsia" w:cstheme="minorEastAsia"/>
          <w:color w:val="auto"/>
          <w:sz w:val="21"/>
          <w:szCs w:val="21"/>
          <w:highlight w:val="none"/>
          <w:lang w:val="en-US" w:eastAsia="zh-CN"/>
        </w:rPr>
        <w:t>考核</w:t>
      </w:r>
      <w:r>
        <w:rPr>
          <w:rFonts w:hint="eastAsia" w:asciiTheme="minorEastAsia" w:hAnsiTheme="minorEastAsia" w:eastAsiaTheme="minorEastAsia" w:cstheme="minorEastAsia"/>
          <w:color w:val="auto"/>
          <w:sz w:val="21"/>
          <w:szCs w:val="21"/>
          <w:highlight w:val="none"/>
        </w:rPr>
        <w:t>等方面的</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w:t>
      </w:r>
    </w:p>
    <w:p w14:paraId="045C96A4">
      <w:pPr>
        <w:spacing w:line="360" w:lineRule="auto"/>
        <w:rPr>
          <w:rFonts w:hint="eastAsia" w:asciiTheme="minorEastAsia" w:hAnsiTheme="minorEastAsia" w:eastAsiaTheme="minorEastAsia" w:cstheme="minorEastAsia"/>
          <w:color w:val="auto"/>
          <w:sz w:val="21"/>
          <w:szCs w:val="21"/>
          <w:highlight w:val="none"/>
        </w:rPr>
      </w:pPr>
      <w:r>
        <w:rPr>
          <w:rFonts w:hint="eastAsia" w:ascii="Calibri" w:hAnsi="Calibri" w:cs="Calibri" w:eastAsiaTheme="minorEastAsia"/>
          <w:color w:val="auto"/>
          <w:sz w:val="21"/>
          <w:szCs w:val="21"/>
          <w:highlight w:val="none"/>
        </w:rPr>
        <w:t>1.2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比选申请人</w:t>
      </w:r>
      <w:r>
        <w:rPr>
          <w:rFonts w:hint="eastAsia" w:asciiTheme="minorEastAsia" w:hAnsiTheme="minorEastAsia" w:eastAsiaTheme="minorEastAsia" w:cstheme="minorEastAsia"/>
          <w:color w:val="auto"/>
          <w:sz w:val="21"/>
          <w:szCs w:val="21"/>
          <w:highlight w:val="none"/>
        </w:rPr>
        <w:t>为中华人民共和国境内合法注册的独立企业法人或其他组织，具有独立承担民事责任能力，具有独立订立合同的权利。</w:t>
      </w:r>
    </w:p>
    <w:p w14:paraId="1F99D4F6">
      <w:pPr>
        <w:spacing w:line="360" w:lineRule="auto"/>
        <w:rPr>
          <w:rFonts w:hint="eastAsia" w:asciiTheme="minorEastAsia" w:hAnsiTheme="minorEastAsia" w:eastAsiaTheme="minorEastAsia" w:cstheme="minorEastAsia"/>
          <w:color w:val="auto"/>
          <w:sz w:val="21"/>
          <w:szCs w:val="21"/>
          <w:highlight w:val="none"/>
        </w:rPr>
      </w:pPr>
      <w:r>
        <w:rPr>
          <w:rFonts w:hint="eastAsia" w:ascii="Calibri" w:hAnsi="Calibri" w:cs="Calibri" w:eastAsia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lang w:val="en-US" w:eastAsia="zh-CN"/>
        </w:rPr>
        <w:t xml:space="preserve"> 比选申请人在5年内</w:t>
      </w:r>
      <w:r>
        <w:rPr>
          <w:rFonts w:hint="eastAsia" w:asciiTheme="minorEastAsia" w:hAnsiTheme="minorEastAsia" w:eastAsiaTheme="minorEastAsia" w:cstheme="minorEastAsia"/>
          <w:color w:val="auto"/>
          <w:sz w:val="21"/>
          <w:szCs w:val="21"/>
          <w:highlight w:val="none"/>
        </w:rPr>
        <w:t>至少具有</w:t>
      </w:r>
      <w:r>
        <w:rPr>
          <w:rFonts w:hint="eastAsia" w:asciiTheme="minorEastAsia" w:hAnsiTheme="minorEastAsia" w:eastAsiaTheme="minorEastAsia" w:cstheme="minorEastAsia"/>
          <w:color w:val="auto"/>
          <w:sz w:val="21"/>
          <w:szCs w:val="21"/>
          <w:highlight w:val="none"/>
          <w:lang w:val="en-US" w:eastAsia="zh-CN"/>
        </w:rPr>
        <w:t>2个火电企业监控系统维护的</w:t>
      </w:r>
      <w:r>
        <w:rPr>
          <w:rFonts w:hint="eastAsia" w:asciiTheme="minorEastAsia" w:hAnsiTheme="minorEastAsia" w:eastAsiaTheme="minorEastAsia" w:cstheme="minorEastAsia"/>
          <w:sz w:val="21"/>
          <w:szCs w:val="21"/>
          <w:highlight w:val="none"/>
        </w:rPr>
        <w:t>合同业绩</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包括总承包维护范围中含监控系统维护部分的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。所有业绩均应提供有效的相关证明性材料，至少包含合同首页、买卖双方签字盖章页、签订日期及能够反映服务内容的关键页等能证明业绩真实性的相关内容。</w:t>
      </w:r>
    </w:p>
    <w:p w14:paraId="319E74E2">
      <w:pPr>
        <w:keepNext w:val="0"/>
        <w:keepLines w:val="0"/>
        <w:widowControl/>
        <w:kinsoku/>
        <w:wordWrap/>
        <w:overflowPunct/>
        <w:topLinePunct w:val="0"/>
        <w:autoSpaceDE w:val="0"/>
        <w:autoSpaceDN w:val="0"/>
        <w:bidi w:val="0"/>
        <w:snapToGrid w:val="0"/>
        <w:spacing w:line="360" w:lineRule="auto"/>
        <w:textAlignment w:val="bottom"/>
        <w:rPr>
          <w:rFonts w:hint="eastAsia" w:asciiTheme="minorEastAsia" w:hAnsiTheme="minorEastAsia" w:eastAsiaTheme="minorEastAsia" w:cstheme="minorEastAsia"/>
          <w:color w:val="auto"/>
          <w:sz w:val="21"/>
          <w:szCs w:val="21"/>
          <w:highlight w:val="none"/>
        </w:rPr>
      </w:pPr>
      <w:r>
        <w:rPr>
          <w:rFonts w:hint="eastAsia" w:ascii="Calibri" w:hAnsi="Calibri" w:cs="Calibri" w:eastAsiaTheme="minorEastAsia"/>
          <w:color w:val="auto"/>
          <w:sz w:val="21"/>
          <w:szCs w:val="21"/>
          <w:highlight w:val="none"/>
        </w:rPr>
        <w:t>1.</w:t>
      </w:r>
      <w:r>
        <w:rPr>
          <w:rFonts w:hint="eastAsia" w:ascii="Calibri" w:hAnsi="Calibri" w:cs="Calibri" w:eastAsia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 xml:space="preserve"> 本技术规范提出的要求为最低限度要求，并未对一切细节作出详细规定，也未充分引述有关标准和规范的条文，</w:t>
      </w:r>
      <w:r>
        <w:rPr>
          <w:rFonts w:hint="eastAsia" w:asciiTheme="minorEastAsia" w:hAnsiTheme="minorEastAsia" w:eastAsiaTheme="minorEastAsia" w:cstheme="minorEastAsia"/>
          <w:color w:val="auto"/>
          <w:sz w:val="21"/>
          <w:szCs w:val="21"/>
          <w:highlight w:val="none"/>
          <w:lang w:eastAsia="zh-CN"/>
        </w:rPr>
        <w:t>比选申请人</w:t>
      </w:r>
      <w:r>
        <w:rPr>
          <w:rFonts w:hint="eastAsia" w:asciiTheme="minorEastAsia" w:hAnsiTheme="minorEastAsia" w:eastAsiaTheme="minorEastAsia" w:cstheme="minorEastAsia"/>
          <w:color w:val="auto"/>
          <w:sz w:val="21"/>
          <w:szCs w:val="21"/>
          <w:highlight w:val="none"/>
        </w:rPr>
        <w:t>应提供符合本技术规范和有关标准规程的技术服务，并满足国家电力有关安全、环保等强制性标准要求。</w:t>
      </w:r>
    </w:p>
    <w:p w14:paraId="0B986311">
      <w:pPr>
        <w:spacing w:line="360" w:lineRule="auto"/>
        <w:rPr>
          <w:rFonts w:hint="eastAsia" w:asciiTheme="minorEastAsia" w:hAnsiTheme="minorEastAsia" w:eastAsiaTheme="minorEastAsia" w:cstheme="minorEastAsia"/>
          <w:sz w:val="21"/>
          <w:szCs w:val="21"/>
          <w:highlight w:val="none"/>
        </w:rPr>
      </w:pPr>
      <w:r>
        <w:rPr>
          <w:rFonts w:hint="eastAsia" w:ascii="Calibri" w:hAnsi="Calibri" w:cs="Calibri" w:eastAsiaTheme="minorEastAsia"/>
          <w:color w:val="auto"/>
          <w:sz w:val="21"/>
          <w:szCs w:val="21"/>
          <w:highlight w:val="none"/>
        </w:rPr>
        <w:t>1.</w:t>
      </w:r>
      <w:r>
        <w:rPr>
          <w:rFonts w:hint="eastAsia" w:ascii="Calibri" w:hAnsi="Calibri" w:cs="Calibri" w:eastAsiaTheme="minorEastAsia"/>
          <w:color w:val="auto"/>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eastAsia="zh-CN"/>
        </w:rPr>
        <w:t>比选申请人</w:t>
      </w:r>
      <w:r>
        <w:rPr>
          <w:rFonts w:hint="eastAsia" w:asciiTheme="minorEastAsia" w:hAnsiTheme="minorEastAsia" w:eastAsiaTheme="minorEastAsia" w:cstheme="minorEastAsia"/>
          <w:sz w:val="21"/>
          <w:szCs w:val="21"/>
          <w:highlight w:val="none"/>
        </w:rPr>
        <w:t>如对本规范书有偏差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无论多么微小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都必须清楚地表示在本规范书的“差异表”中，否则</w:t>
      </w:r>
      <w:r>
        <w:rPr>
          <w:rFonts w:hint="eastAsia" w:asciiTheme="minorEastAsia" w:hAnsiTheme="minorEastAsia" w:eastAsiaTheme="minorEastAsia" w:cstheme="minorEastAsia"/>
          <w:sz w:val="21"/>
          <w:szCs w:val="21"/>
          <w:highlight w:val="none"/>
          <w:lang w:eastAsia="zh-CN"/>
        </w:rPr>
        <w:t>比选人</w:t>
      </w:r>
      <w:r>
        <w:rPr>
          <w:rFonts w:hint="eastAsia" w:asciiTheme="minorEastAsia" w:hAnsiTheme="minorEastAsia" w:eastAsiaTheme="minorEastAsia" w:cstheme="minorEastAsia"/>
          <w:sz w:val="21"/>
          <w:szCs w:val="21"/>
          <w:highlight w:val="none"/>
        </w:rPr>
        <w:t>将认为</w:t>
      </w:r>
      <w:r>
        <w:rPr>
          <w:rFonts w:hint="eastAsia" w:asciiTheme="minorEastAsia" w:hAnsiTheme="minorEastAsia" w:eastAsiaTheme="minorEastAsia" w:cstheme="minorEastAsia"/>
          <w:sz w:val="21"/>
          <w:szCs w:val="21"/>
          <w:highlight w:val="none"/>
          <w:lang w:eastAsia="zh-CN"/>
        </w:rPr>
        <w:t>比选申请人</w:t>
      </w:r>
      <w:r>
        <w:rPr>
          <w:rFonts w:hint="eastAsia" w:asciiTheme="minorEastAsia" w:hAnsiTheme="minorEastAsia" w:eastAsiaTheme="minorEastAsia" w:cstheme="minorEastAsia"/>
          <w:sz w:val="21"/>
          <w:szCs w:val="21"/>
          <w:highlight w:val="none"/>
        </w:rPr>
        <w:t>完全接受和同意本规范书的要求。若本技术规范书前后有不一致的地方，</w:t>
      </w:r>
      <w:r>
        <w:rPr>
          <w:rFonts w:hint="eastAsia" w:asciiTheme="minorEastAsia" w:hAnsiTheme="minorEastAsia" w:eastAsiaTheme="minorEastAsia" w:cstheme="minorEastAsia"/>
          <w:sz w:val="21"/>
          <w:szCs w:val="21"/>
          <w:highlight w:val="none"/>
          <w:lang w:eastAsia="zh-CN"/>
        </w:rPr>
        <w:t>比选申请人</w:t>
      </w:r>
      <w:r>
        <w:rPr>
          <w:rFonts w:hint="eastAsia" w:asciiTheme="minorEastAsia" w:hAnsiTheme="minorEastAsia" w:eastAsiaTheme="minorEastAsia" w:cstheme="minorEastAsia"/>
          <w:sz w:val="21"/>
          <w:szCs w:val="21"/>
          <w:highlight w:val="none"/>
        </w:rPr>
        <w:t>应提前提出澄清，未提出澄清的则以</w:t>
      </w:r>
      <w:r>
        <w:rPr>
          <w:rFonts w:hint="eastAsia" w:asciiTheme="minorEastAsia" w:hAnsiTheme="minorEastAsia" w:eastAsiaTheme="minorEastAsia" w:cstheme="minorEastAsia"/>
          <w:sz w:val="21"/>
          <w:szCs w:val="21"/>
          <w:highlight w:val="none"/>
          <w:lang w:eastAsia="zh-CN"/>
        </w:rPr>
        <w:t>比选人</w:t>
      </w:r>
      <w:r>
        <w:rPr>
          <w:rFonts w:hint="eastAsia" w:asciiTheme="minorEastAsia" w:hAnsiTheme="minorEastAsia" w:eastAsiaTheme="minorEastAsia" w:cstheme="minorEastAsia"/>
          <w:sz w:val="21"/>
          <w:szCs w:val="21"/>
          <w:highlight w:val="none"/>
        </w:rPr>
        <w:t>的解释为准。若本技术规范书书与合同有差异，应按照有利于</w:t>
      </w:r>
      <w:r>
        <w:rPr>
          <w:rFonts w:hint="eastAsia" w:asciiTheme="minorEastAsia" w:hAnsiTheme="minorEastAsia" w:eastAsiaTheme="minorEastAsia" w:cstheme="minorEastAsia"/>
          <w:sz w:val="21"/>
          <w:szCs w:val="21"/>
          <w:highlight w:val="none"/>
          <w:lang w:eastAsia="zh-CN"/>
        </w:rPr>
        <w:t>比选人</w:t>
      </w:r>
      <w:r>
        <w:rPr>
          <w:rFonts w:hint="eastAsia" w:asciiTheme="minorEastAsia" w:hAnsiTheme="minorEastAsia" w:eastAsiaTheme="minorEastAsia" w:cstheme="minorEastAsia"/>
          <w:sz w:val="21"/>
          <w:szCs w:val="21"/>
          <w:highlight w:val="none"/>
        </w:rPr>
        <w:t>的原则处理。</w:t>
      </w:r>
    </w:p>
    <w:p w14:paraId="5BABF3A4">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Calibri" w:hAnsi="Calibri" w:cs="Calibri" w:eastAsiaTheme="minorEastAsia"/>
          <w:color w:val="auto"/>
          <w:sz w:val="21"/>
          <w:szCs w:val="21"/>
          <w:highlight w:val="none"/>
          <w:lang w:val="en-US" w:eastAsia="zh-CN"/>
        </w:rPr>
        <w:t>1.6</w:t>
      </w:r>
      <w:r>
        <w:rPr>
          <w:rFonts w:hint="eastAsia" w:asciiTheme="minorEastAsia" w:hAnsiTheme="minorEastAsia" w:eastAsiaTheme="minorEastAsia" w:cstheme="minorEastAsia"/>
          <w:sz w:val="21"/>
          <w:szCs w:val="21"/>
          <w:highlight w:val="none"/>
          <w:lang w:val="en-US" w:eastAsia="zh-CN"/>
        </w:rPr>
        <w:t xml:space="preserve"> 对于非合同限定范围且影响</w:t>
      </w:r>
      <w:r>
        <w:rPr>
          <w:rFonts w:hint="eastAsia" w:asciiTheme="minorEastAsia" w:hAnsiTheme="minorEastAsia" w:eastAsiaTheme="minorEastAsia" w:cstheme="minorEastAsia"/>
          <w:sz w:val="21"/>
          <w:szCs w:val="21"/>
          <w:highlight w:val="none"/>
          <w:lang w:val="en-US" w:eastAsia="zh-CN"/>
        </w:rPr>
        <w:t>比选人</w:t>
      </w:r>
      <w:r>
        <w:rPr>
          <w:rFonts w:hint="eastAsia" w:asciiTheme="minorEastAsia" w:hAnsiTheme="minorEastAsia" w:eastAsiaTheme="minorEastAsia" w:cstheme="minorEastAsia"/>
          <w:sz w:val="21"/>
          <w:szCs w:val="21"/>
          <w:highlight w:val="none"/>
          <w:lang w:val="en-US" w:eastAsia="zh-CN"/>
        </w:rPr>
        <w:t>设备安全经济运行的检修任务，</w:t>
      </w:r>
      <w:r>
        <w:rPr>
          <w:rFonts w:hint="eastAsia" w:asciiTheme="minorEastAsia" w:hAnsiTheme="minorEastAsia" w:eastAsiaTheme="minorEastAsia" w:cstheme="minorEastAsia"/>
          <w:sz w:val="21"/>
          <w:szCs w:val="21"/>
          <w:highlight w:val="none"/>
          <w:lang w:val="en-US" w:eastAsia="zh-CN"/>
        </w:rPr>
        <w:t>比选申请人</w:t>
      </w:r>
      <w:r>
        <w:rPr>
          <w:rFonts w:hint="eastAsia" w:asciiTheme="minorEastAsia" w:hAnsiTheme="minorEastAsia" w:eastAsiaTheme="minorEastAsia" w:cstheme="minorEastAsia"/>
          <w:sz w:val="21"/>
          <w:szCs w:val="21"/>
          <w:highlight w:val="none"/>
          <w:lang w:val="en-US" w:eastAsia="zh-CN"/>
        </w:rPr>
        <w:t>有优先承接的权利和接受</w:t>
      </w:r>
      <w:r>
        <w:rPr>
          <w:rFonts w:hint="eastAsia" w:asciiTheme="minorEastAsia" w:hAnsiTheme="minorEastAsia" w:eastAsiaTheme="minorEastAsia" w:cstheme="minorEastAsia"/>
          <w:sz w:val="21"/>
          <w:szCs w:val="21"/>
          <w:highlight w:val="none"/>
          <w:lang w:val="en-US" w:eastAsia="zh-CN"/>
        </w:rPr>
        <w:t>比选人</w:t>
      </w:r>
      <w:r>
        <w:rPr>
          <w:rFonts w:hint="eastAsia" w:asciiTheme="minorEastAsia" w:hAnsiTheme="minorEastAsia" w:eastAsiaTheme="minorEastAsia" w:cstheme="minorEastAsia"/>
          <w:sz w:val="21"/>
          <w:szCs w:val="21"/>
          <w:highlight w:val="none"/>
          <w:lang w:val="en-US" w:eastAsia="zh-CN"/>
        </w:rPr>
        <w:t>安排处理的义务，不得以非合同限定工作的理由推诿扯皮。非合同限定范围产生的检修费用按照《四川省建设工程工程量清单计价定额—安装工程（一）》最新版本定额标准核算单独支付。</w:t>
      </w:r>
    </w:p>
    <w:p w14:paraId="2B1BBA8F">
      <w:pPr>
        <w:spacing w:line="360" w:lineRule="auto"/>
        <w:rPr>
          <w:rFonts w:hint="eastAsia" w:asciiTheme="minorEastAsia" w:hAnsiTheme="minorEastAsia" w:eastAsiaTheme="minorEastAsia" w:cstheme="minorEastAsia"/>
          <w:color w:val="auto"/>
          <w:sz w:val="21"/>
          <w:szCs w:val="21"/>
          <w:highlight w:val="none"/>
        </w:rPr>
      </w:pPr>
      <w:r>
        <w:rPr>
          <w:rFonts w:hint="eastAsia" w:ascii="Calibri" w:hAnsi="Calibri" w:cs="Calibri" w:eastAsiaTheme="minorEastAsia"/>
          <w:color w:val="auto"/>
          <w:sz w:val="21"/>
          <w:szCs w:val="21"/>
          <w:highlight w:val="none"/>
        </w:rPr>
        <w:t>1.</w:t>
      </w:r>
      <w:r>
        <w:rPr>
          <w:rFonts w:hint="eastAsia" w:ascii="Calibri" w:hAnsi="Calibri" w:cs="Calibri" w:eastAsia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 xml:space="preserve"> 在签订合同之后，</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保留对本技术规范书提出补充要求和修改的权利，</w:t>
      </w:r>
      <w:r>
        <w:rPr>
          <w:rFonts w:hint="eastAsia" w:asciiTheme="minorEastAsia" w:hAnsiTheme="minorEastAsia" w:eastAsiaTheme="minorEastAsia" w:cstheme="minorEastAsia"/>
          <w:color w:val="auto"/>
          <w:sz w:val="21"/>
          <w:szCs w:val="21"/>
          <w:highlight w:val="none"/>
          <w:lang w:eastAsia="zh-CN"/>
        </w:rPr>
        <w:t>比选申请人</w:t>
      </w:r>
      <w:r>
        <w:rPr>
          <w:rFonts w:hint="eastAsia" w:asciiTheme="minorEastAsia" w:hAnsiTheme="minorEastAsia" w:eastAsiaTheme="minorEastAsia" w:cstheme="minorEastAsia"/>
          <w:color w:val="auto"/>
          <w:sz w:val="21"/>
          <w:szCs w:val="21"/>
          <w:highlight w:val="none"/>
        </w:rPr>
        <w:t>应承诺予以配合行业要求及规范变化。本技术规范书解释权归</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w:t>
      </w:r>
    </w:p>
    <w:p w14:paraId="5B513BBF">
      <w:pPr>
        <w:keepNext w:val="0"/>
        <w:keepLines w:val="0"/>
        <w:pageBreakBefore w:val="0"/>
        <w:widowControl w:val="0"/>
        <w:numPr>
          <w:ilvl w:val="0"/>
          <w:numId w:val="1"/>
        </w:numPr>
        <w:kinsoku/>
        <w:wordWrap/>
        <w:overflowPunct/>
        <w:topLinePunct w:val="0"/>
        <w:autoSpaceDE/>
        <w:autoSpaceDN/>
        <w:bidi w:val="0"/>
        <w:adjustRightInd/>
        <w:snapToGrid/>
        <w:spacing w:before="235" w:beforeLines="75" w:after="157" w:afterLines="50" w:line="360" w:lineRule="auto"/>
        <w:ind w:left="-420" w:firstLine="420"/>
        <w:textAlignment w:val="auto"/>
        <w:outlineLvl w:val="0"/>
        <w:rPr>
          <w:rFonts w:hint="eastAsia" w:asciiTheme="minorEastAsia" w:hAnsiTheme="minorEastAsia" w:eastAsiaTheme="minorEastAsia" w:cstheme="minorEastAsia"/>
          <w:color w:val="auto"/>
          <w:sz w:val="21"/>
          <w:szCs w:val="21"/>
          <w:highlight w:val="none"/>
        </w:rPr>
      </w:pPr>
      <w:bookmarkStart w:id="6" w:name="_Toc430783711"/>
      <w:bookmarkStart w:id="7" w:name="_Toc10553"/>
      <w:bookmarkStart w:id="8" w:name="_Toc24465"/>
      <w:bookmarkStart w:id="9" w:name="_Toc16098"/>
      <w:bookmarkStart w:id="10" w:name="_Toc459361977"/>
      <w:bookmarkStart w:id="11" w:name="_Toc15191"/>
      <w:r>
        <w:rPr>
          <w:rFonts w:hint="eastAsia" w:asciiTheme="minorEastAsia" w:hAnsiTheme="minorEastAsia" w:eastAsiaTheme="minorEastAsia" w:cstheme="minorEastAsia"/>
          <w:color w:val="auto"/>
          <w:sz w:val="21"/>
          <w:szCs w:val="21"/>
          <w:highlight w:val="none"/>
        </w:rPr>
        <w:t>工程概况</w:t>
      </w:r>
      <w:bookmarkEnd w:id="6"/>
      <w:bookmarkEnd w:id="7"/>
      <w:bookmarkEnd w:id="8"/>
      <w:bookmarkEnd w:id="9"/>
      <w:bookmarkEnd w:id="10"/>
      <w:bookmarkEnd w:id="11"/>
    </w:p>
    <w:p w14:paraId="0BFD42A2">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CN"/>
        </w:rPr>
      </w:pPr>
      <w:bookmarkStart w:id="12" w:name="_Toc10256"/>
      <w:r>
        <w:rPr>
          <w:rFonts w:hint="eastAsia" w:eastAsia="宋体" w:cs="Times New Roman"/>
          <w:highlight w:val="none"/>
          <w:lang w:val="en-US" w:eastAsia="zh-CN"/>
        </w:rPr>
        <w:t>2.1  地理位置</w:t>
      </w:r>
      <w:bookmarkEnd w:id="12"/>
    </w:p>
    <w:p w14:paraId="793C75C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电厂厂址位于泸州市江阳区江北镇，西北距江北镇约600m，东北距泸州市区直线距离约15km，公路距离约30km，东面距纳溪区约7.5km，南面距长江北岸约2km，北面距泸州机场跑道轴线延长方向约2km。</w:t>
      </w:r>
    </w:p>
    <w:p w14:paraId="1428C94C">
      <w:pPr>
        <w:pStyle w:val="2"/>
        <w:rPr>
          <w:rFonts w:hint="eastAsia"/>
          <w:highlight w:val="none"/>
        </w:rPr>
      </w:pPr>
    </w:p>
    <w:p w14:paraId="2A13025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CN"/>
        </w:rPr>
      </w:pPr>
      <w:r>
        <w:rPr>
          <w:rFonts w:hint="eastAsia" w:eastAsia="宋体" w:cs="Times New Roman"/>
          <w:highlight w:val="none"/>
          <w:lang w:val="en-US" w:eastAsia="zh-CN"/>
        </w:rPr>
        <w:t>2.2系统概述</w:t>
      </w:r>
    </w:p>
    <w:p w14:paraId="53B657FD">
      <w:pPr>
        <w:spacing w:line="360" w:lineRule="auto"/>
        <w:jc w:val="center"/>
        <w:rPr>
          <w:rFonts w:hint="default"/>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表2.1 安防及监控系统</w:t>
      </w:r>
      <w:r>
        <w:rPr>
          <w:rFonts w:hint="eastAsia" w:asciiTheme="minorEastAsia" w:hAnsiTheme="minorEastAsia" w:eastAsiaTheme="minorEastAsia" w:cstheme="minorEastAsia"/>
          <w:color w:val="auto"/>
          <w:sz w:val="21"/>
          <w:szCs w:val="21"/>
          <w:highlight w:val="none"/>
          <w:lang w:val="en-US" w:eastAsia="zh"/>
        </w:rPr>
        <w:t>主要</w:t>
      </w:r>
      <w:r>
        <w:rPr>
          <w:rFonts w:hint="eastAsia" w:asciiTheme="minorEastAsia" w:hAnsiTheme="minorEastAsia" w:eastAsiaTheme="minorEastAsia" w:cstheme="minorEastAsia"/>
          <w:color w:val="auto"/>
          <w:sz w:val="21"/>
          <w:szCs w:val="21"/>
          <w:highlight w:val="none"/>
          <w:lang w:val="en-US" w:eastAsia="zh-CN"/>
        </w:rPr>
        <w:t>设备清单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552"/>
        <w:gridCol w:w="2168"/>
        <w:gridCol w:w="1792"/>
        <w:gridCol w:w="1139"/>
      </w:tblGrid>
      <w:tr w14:paraId="0C16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53E743A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序号</w:t>
            </w:r>
          </w:p>
        </w:tc>
        <w:tc>
          <w:tcPr>
            <w:tcW w:w="2552" w:type="dxa"/>
            <w:noWrap w:val="0"/>
            <w:vAlign w:val="top"/>
          </w:tcPr>
          <w:p w14:paraId="72462E1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系统名称</w:t>
            </w:r>
          </w:p>
        </w:tc>
        <w:tc>
          <w:tcPr>
            <w:tcW w:w="2168" w:type="dxa"/>
            <w:noWrap w:val="0"/>
            <w:vAlign w:val="top"/>
          </w:tcPr>
          <w:p w14:paraId="7D5B4F1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摄像头</w:t>
            </w:r>
            <w:r>
              <w:rPr>
                <w:rFonts w:hint="eastAsia" w:asciiTheme="minorEastAsia" w:hAnsiTheme="minorEastAsia" w:eastAsiaTheme="minorEastAsia" w:cstheme="minorEastAsia"/>
                <w:sz w:val="21"/>
                <w:szCs w:val="21"/>
                <w:highlight w:val="none"/>
                <w:vertAlign w:val="baseline"/>
                <w:lang w:val="en-US" w:eastAsia="zh"/>
              </w:rPr>
              <w:t>/设备</w:t>
            </w:r>
            <w:r>
              <w:rPr>
                <w:rFonts w:hint="eastAsia" w:asciiTheme="minorEastAsia" w:hAnsiTheme="minorEastAsia" w:eastAsiaTheme="minorEastAsia" w:cstheme="minorEastAsia"/>
                <w:sz w:val="21"/>
                <w:szCs w:val="21"/>
                <w:highlight w:val="none"/>
                <w:vertAlign w:val="baseline"/>
                <w:lang w:val="en-US" w:eastAsia="zh-CN"/>
              </w:rPr>
              <w:t>数量</w:t>
            </w:r>
          </w:p>
        </w:tc>
        <w:tc>
          <w:tcPr>
            <w:tcW w:w="1792" w:type="dxa"/>
            <w:noWrap w:val="0"/>
            <w:vAlign w:val="top"/>
          </w:tcPr>
          <w:p w14:paraId="0E79FC9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硬盘录像机数量</w:t>
            </w:r>
          </w:p>
        </w:tc>
        <w:tc>
          <w:tcPr>
            <w:tcW w:w="1139" w:type="dxa"/>
            <w:noWrap w:val="0"/>
            <w:vAlign w:val="top"/>
          </w:tcPr>
          <w:p w14:paraId="52739B6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备注</w:t>
            </w:r>
          </w:p>
        </w:tc>
      </w:tr>
      <w:tr w14:paraId="398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34C5815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p>
        </w:tc>
        <w:tc>
          <w:tcPr>
            <w:tcW w:w="2552" w:type="dxa"/>
            <w:noWrap w:val="0"/>
            <w:vAlign w:val="top"/>
          </w:tcPr>
          <w:p w14:paraId="29D4900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
              </w:rPr>
            </w:pPr>
            <w:r>
              <w:rPr>
                <w:rFonts w:hint="eastAsia" w:asciiTheme="minorEastAsia" w:hAnsiTheme="minorEastAsia" w:eastAsiaTheme="minorEastAsia" w:cstheme="minorEastAsia"/>
                <w:sz w:val="21"/>
                <w:szCs w:val="21"/>
                <w:highlight w:val="none"/>
              </w:rPr>
              <w:t>主机</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6DB6DA6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48个</w:t>
            </w:r>
          </w:p>
        </w:tc>
        <w:tc>
          <w:tcPr>
            <w:tcW w:w="1792" w:type="dxa"/>
            <w:noWrap w:val="0"/>
            <w:vAlign w:val="top"/>
          </w:tcPr>
          <w:p w14:paraId="22F34C4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5台</w:t>
            </w:r>
          </w:p>
        </w:tc>
        <w:tc>
          <w:tcPr>
            <w:tcW w:w="1139" w:type="dxa"/>
            <w:noWrap w:val="0"/>
            <w:vAlign w:val="top"/>
          </w:tcPr>
          <w:p w14:paraId="0F2D265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4D8A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69" w:type="dxa"/>
            <w:noWrap w:val="0"/>
            <w:vAlign w:val="top"/>
          </w:tcPr>
          <w:p w14:paraId="629F84A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w:t>
            </w:r>
          </w:p>
        </w:tc>
        <w:tc>
          <w:tcPr>
            <w:tcW w:w="2552" w:type="dxa"/>
            <w:noWrap w:val="0"/>
            <w:vAlign w:val="top"/>
          </w:tcPr>
          <w:p w14:paraId="35AFAD3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rPr>
              <w:t>化学</w:t>
            </w:r>
            <w:r>
              <w:rPr>
                <w:rFonts w:hint="eastAsia" w:asciiTheme="minorEastAsia" w:hAnsiTheme="minorEastAsia" w:eastAsiaTheme="minorEastAsia" w:cstheme="minorEastAsia"/>
                <w:sz w:val="21"/>
                <w:szCs w:val="21"/>
                <w:highlight w:val="none"/>
                <w:lang w:eastAsia="zh"/>
              </w:rPr>
              <w:t>监控(含江边取水）</w:t>
            </w:r>
          </w:p>
        </w:tc>
        <w:tc>
          <w:tcPr>
            <w:tcW w:w="2168" w:type="dxa"/>
            <w:noWrap w:val="0"/>
            <w:vAlign w:val="top"/>
          </w:tcPr>
          <w:p w14:paraId="2D2E380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12个</w:t>
            </w:r>
          </w:p>
        </w:tc>
        <w:tc>
          <w:tcPr>
            <w:tcW w:w="1792" w:type="dxa"/>
            <w:noWrap w:val="0"/>
            <w:vAlign w:val="top"/>
          </w:tcPr>
          <w:p w14:paraId="1010BCA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4台</w:t>
            </w:r>
          </w:p>
        </w:tc>
        <w:tc>
          <w:tcPr>
            <w:tcW w:w="1139" w:type="dxa"/>
            <w:noWrap w:val="0"/>
            <w:vAlign w:val="top"/>
          </w:tcPr>
          <w:p w14:paraId="17C1D0D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4E90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5E8DA96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2552" w:type="dxa"/>
            <w:noWrap w:val="0"/>
            <w:vAlign w:val="top"/>
          </w:tcPr>
          <w:p w14:paraId="5F14409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lang w:val="en-US" w:eastAsia="zh-CN"/>
              </w:rPr>
              <w:t>翻车机</w:t>
            </w:r>
            <w:r>
              <w:rPr>
                <w:rFonts w:hint="eastAsia" w:asciiTheme="minorEastAsia" w:hAnsiTheme="minorEastAsia" w:eastAsiaTheme="minorEastAsia" w:cstheme="minorEastAsia"/>
                <w:sz w:val="21"/>
                <w:szCs w:val="21"/>
                <w:highlight w:val="none"/>
                <w:lang w:val="en-US" w:eastAsia="zh-CN"/>
              </w:rPr>
              <w:t>监控</w:t>
            </w:r>
          </w:p>
        </w:tc>
        <w:tc>
          <w:tcPr>
            <w:tcW w:w="2168" w:type="dxa"/>
            <w:noWrap w:val="0"/>
            <w:vAlign w:val="top"/>
          </w:tcPr>
          <w:p w14:paraId="2A68B2B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14个</w:t>
            </w:r>
          </w:p>
        </w:tc>
        <w:tc>
          <w:tcPr>
            <w:tcW w:w="1792" w:type="dxa"/>
            <w:noWrap w:val="0"/>
            <w:vAlign w:val="top"/>
          </w:tcPr>
          <w:p w14:paraId="239935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2台</w:t>
            </w:r>
          </w:p>
        </w:tc>
        <w:tc>
          <w:tcPr>
            <w:tcW w:w="1139" w:type="dxa"/>
            <w:noWrap w:val="0"/>
            <w:vAlign w:val="top"/>
          </w:tcPr>
          <w:p w14:paraId="74C4C9A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59F8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1263C5D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w:t>
            </w:r>
          </w:p>
        </w:tc>
        <w:tc>
          <w:tcPr>
            <w:tcW w:w="2552" w:type="dxa"/>
            <w:noWrap w:val="0"/>
            <w:vAlign w:val="top"/>
          </w:tcPr>
          <w:p w14:paraId="3C73B33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火车采样监控</w:t>
            </w:r>
          </w:p>
        </w:tc>
        <w:tc>
          <w:tcPr>
            <w:tcW w:w="2168" w:type="dxa"/>
            <w:noWrap w:val="0"/>
            <w:vAlign w:val="top"/>
          </w:tcPr>
          <w:p w14:paraId="571001F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w:t>
            </w:r>
          </w:p>
        </w:tc>
        <w:tc>
          <w:tcPr>
            <w:tcW w:w="1792" w:type="dxa"/>
            <w:noWrap w:val="0"/>
            <w:vAlign w:val="top"/>
          </w:tcPr>
          <w:p w14:paraId="1C6EBA7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1台</w:t>
            </w:r>
          </w:p>
        </w:tc>
        <w:tc>
          <w:tcPr>
            <w:tcW w:w="1139" w:type="dxa"/>
            <w:noWrap w:val="0"/>
            <w:vAlign w:val="top"/>
          </w:tcPr>
          <w:p w14:paraId="59BF478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71B8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536209C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w:t>
            </w:r>
          </w:p>
        </w:tc>
        <w:tc>
          <w:tcPr>
            <w:tcW w:w="2552" w:type="dxa"/>
            <w:noWrap w:val="0"/>
            <w:vAlign w:val="top"/>
          </w:tcPr>
          <w:p w14:paraId="73E2A5C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lang w:val="en-US" w:eastAsia="zh-CN"/>
              </w:rPr>
              <w:t>火车车皮</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7A99FB5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12个</w:t>
            </w:r>
          </w:p>
        </w:tc>
        <w:tc>
          <w:tcPr>
            <w:tcW w:w="1792" w:type="dxa"/>
            <w:noWrap w:val="0"/>
            <w:vAlign w:val="top"/>
          </w:tcPr>
          <w:p w14:paraId="25F9F3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1台</w:t>
            </w:r>
          </w:p>
        </w:tc>
        <w:tc>
          <w:tcPr>
            <w:tcW w:w="1139" w:type="dxa"/>
            <w:noWrap w:val="0"/>
            <w:vAlign w:val="top"/>
          </w:tcPr>
          <w:p w14:paraId="2369D0B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4C09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605483E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6</w:t>
            </w:r>
          </w:p>
        </w:tc>
        <w:tc>
          <w:tcPr>
            <w:tcW w:w="2552" w:type="dxa"/>
            <w:noWrap w:val="0"/>
            <w:vAlign w:val="top"/>
          </w:tcPr>
          <w:p w14:paraId="1EE4064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lang w:val="en-US" w:eastAsia="zh-CN"/>
              </w:rPr>
              <w:t>输煤</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2FDEBB6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50个</w:t>
            </w:r>
          </w:p>
        </w:tc>
        <w:tc>
          <w:tcPr>
            <w:tcW w:w="1792" w:type="dxa"/>
            <w:noWrap w:val="0"/>
            <w:vAlign w:val="top"/>
          </w:tcPr>
          <w:p w14:paraId="10311A5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4台</w:t>
            </w:r>
          </w:p>
        </w:tc>
        <w:tc>
          <w:tcPr>
            <w:tcW w:w="1139" w:type="dxa"/>
            <w:noWrap w:val="0"/>
            <w:vAlign w:val="top"/>
          </w:tcPr>
          <w:p w14:paraId="15E47E0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已外委</w:t>
            </w:r>
          </w:p>
        </w:tc>
      </w:tr>
      <w:tr w14:paraId="6021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0801ECF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7</w:t>
            </w:r>
          </w:p>
        </w:tc>
        <w:tc>
          <w:tcPr>
            <w:tcW w:w="2552" w:type="dxa"/>
            <w:noWrap w:val="0"/>
            <w:vAlign w:val="top"/>
          </w:tcPr>
          <w:p w14:paraId="36C6B9C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lang w:val="en-US" w:eastAsia="zh-CN"/>
              </w:rPr>
              <w:t>审监</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267E29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31个</w:t>
            </w:r>
          </w:p>
        </w:tc>
        <w:tc>
          <w:tcPr>
            <w:tcW w:w="1792" w:type="dxa"/>
            <w:noWrap w:val="0"/>
            <w:vAlign w:val="top"/>
          </w:tcPr>
          <w:p w14:paraId="2D9607C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2台</w:t>
            </w:r>
          </w:p>
        </w:tc>
        <w:tc>
          <w:tcPr>
            <w:tcW w:w="1139" w:type="dxa"/>
            <w:noWrap w:val="0"/>
            <w:vAlign w:val="top"/>
          </w:tcPr>
          <w:p w14:paraId="06407EB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已外委</w:t>
            </w:r>
          </w:p>
        </w:tc>
      </w:tr>
      <w:tr w14:paraId="65A5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1B3DE68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8</w:t>
            </w:r>
          </w:p>
        </w:tc>
        <w:tc>
          <w:tcPr>
            <w:tcW w:w="2552" w:type="dxa"/>
            <w:noWrap w:val="0"/>
            <w:vAlign w:val="top"/>
          </w:tcPr>
          <w:p w14:paraId="20ABF5F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脱硫</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3C982C0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28个</w:t>
            </w:r>
          </w:p>
        </w:tc>
        <w:tc>
          <w:tcPr>
            <w:tcW w:w="1792" w:type="dxa"/>
            <w:noWrap w:val="0"/>
            <w:vAlign w:val="top"/>
          </w:tcPr>
          <w:p w14:paraId="3BB8A8F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3台</w:t>
            </w:r>
          </w:p>
        </w:tc>
        <w:tc>
          <w:tcPr>
            <w:tcW w:w="1139" w:type="dxa"/>
            <w:noWrap w:val="0"/>
            <w:vAlign w:val="top"/>
          </w:tcPr>
          <w:p w14:paraId="2CA1D22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已外委</w:t>
            </w:r>
          </w:p>
        </w:tc>
      </w:tr>
      <w:tr w14:paraId="74EA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24C89E9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9</w:t>
            </w:r>
          </w:p>
        </w:tc>
        <w:tc>
          <w:tcPr>
            <w:tcW w:w="2552" w:type="dxa"/>
            <w:noWrap w:val="0"/>
            <w:vAlign w:val="top"/>
          </w:tcPr>
          <w:p w14:paraId="10140F4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尿素区</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27F52E0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7个</w:t>
            </w:r>
          </w:p>
        </w:tc>
        <w:tc>
          <w:tcPr>
            <w:tcW w:w="1792" w:type="dxa"/>
            <w:noWrap w:val="0"/>
            <w:vAlign w:val="top"/>
          </w:tcPr>
          <w:p w14:paraId="3230797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1台</w:t>
            </w:r>
          </w:p>
        </w:tc>
        <w:tc>
          <w:tcPr>
            <w:tcW w:w="1139" w:type="dxa"/>
            <w:noWrap w:val="0"/>
            <w:vAlign w:val="top"/>
          </w:tcPr>
          <w:p w14:paraId="6B755D0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1D0C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551A48E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10</w:t>
            </w:r>
          </w:p>
        </w:tc>
        <w:tc>
          <w:tcPr>
            <w:tcW w:w="2552" w:type="dxa"/>
            <w:noWrap w:val="0"/>
            <w:vAlign w:val="top"/>
          </w:tcPr>
          <w:p w14:paraId="26F6A25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周界</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2299DED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57个</w:t>
            </w:r>
          </w:p>
        </w:tc>
        <w:tc>
          <w:tcPr>
            <w:tcW w:w="1792" w:type="dxa"/>
            <w:noWrap w:val="0"/>
            <w:vAlign w:val="top"/>
          </w:tcPr>
          <w:p w14:paraId="4B4F284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5台</w:t>
            </w:r>
          </w:p>
        </w:tc>
        <w:tc>
          <w:tcPr>
            <w:tcW w:w="1139" w:type="dxa"/>
            <w:noWrap w:val="0"/>
            <w:vAlign w:val="top"/>
          </w:tcPr>
          <w:p w14:paraId="4059E7B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367E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noWrap w:val="0"/>
            <w:vAlign w:val="top"/>
          </w:tcPr>
          <w:p w14:paraId="1344331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
              </w:rPr>
              <w:t>1</w:t>
            </w:r>
            <w:r>
              <w:rPr>
                <w:rFonts w:hint="eastAsia" w:asciiTheme="minorEastAsia" w:hAnsiTheme="minorEastAsia" w:eastAsiaTheme="minorEastAsia" w:cstheme="minorEastAsia"/>
                <w:sz w:val="21"/>
                <w:szCs w:val="21"/>
                <w:highlight w:val="none"/>
                <w:vertAlign w:val="baseline"/>
                <w:lang w:val="en-US" w:eastAsia="zh-CN"/>
              </w:rPr>
              <w:t>1</w:t>
            </w:r>
          </w:p>
        </w:tc>
        <w:tc>
          <w:tcPr>
            <w:tcW w:w="2552" w:type="dxa"/>
            <w:noWrap w:val="0"/>
            <w:vAlign w:val="top"/>
          </w:tcPr>
          <w:p w14:paraId="53F95AC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石膏</w:t>
            </w:r>
            <w:r>
              <w:rPr>
                <w:rFonts w:hint="eastAsia" w:asciiTheme="minorEastAsia" w:hAnsiTheme="minorEastAsia" w:eastAsiaTheme="minorEastAsia" w:cstheme="minorEastAsia"/>
                <w:sz w:val="21"/>
                <w:szCs w:val="21"/>
                <w:highlight w:val="none"/>
                <w:lang w:eastAsia="zh"/>
              </w:rPr>
              <w:t>监控</w:t>
            </w:r>
          </w:p>
        </w:tc>
        <w:tc>
          <w:tcPr>
            <w:tcW w:w="2168" w:type="dxa"/>
            <w:noWrap w:val="0"/>
            <w:vAlign w:val="top"/>
          </w:tcPr>
          <w:p w14:paraId="35615CF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4个</w:t>
            </w:r>
          </w:p>
        </w:tc>
        <w:tc>
          <w:tcPr>
            <w:tcW w:w="1792" w:type="dxa"/>
            <w:noWrap w:val="0"/>
            <w:vAlign w:val="top"/>
          </w:tcPr>
          <w:p w14:paraId="7FB5A19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1台</w:t>
            </w:r>
          </w:p>
        </w:tc>
        <w:tc>
          <w:tcPr>
            <w:tcW w:w="1139" w:type="dxa"/>
            <w:noWrap w:val="0"/>
            <w:vAlign w:val="top"/>
          </w:tcPr>
          <w:p w14:paraId="4EE67E2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750C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869" w:type="dxa"/>
            <w:shd w:val="clear" w:color="auto" w:fill="auto"/>
            <w:noWrap w:val="0"/>
            <w:vAlign w:val="top"/>
          </w:tcPr>
          <w:p w14:paraId="2D9CB54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2</w:t>
            </w:r>
          </w:p>
        </w:tc>
        <w:tc>
          <w:tcPr>
            <w:tcW w:w="2552" w:type="dxa"/>
            <w:shd w:val="clear" w:color="auto" w:fill="auto"/>
            <w:noWrap w:val="0"/>
            <w:vAlign w:val="top"/>
          </w:tcPr>
          <w:p w14:paraId="5516C7B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环保</w:t>
            </w:r>
            <w:r>
              <w:rPr>
                <w:rFonts w:hint="eastAsia" w:asciiTheme="minorEastAsia" w:hAnsiTheme="minorEastAsia" w:eastAsiaTheme="minorEastAsia" w:cstheme="minorEastAsia"/>
                <w:sz w:val="21"/>
                <w:szCs w:val="21"/>
                <w:highlight w:val="none"/>
                <w:lang w:eastAsia="zh"/>
              </w:rPr>
              <w:t>监控</w:t>
            </w:r>
          </w:p>
        </w:tc>
        <w:tc>
          <w:tcPr>
            <w:tcW w:w="2168" w:type="dxa"/>
            <w:shd w:val="clear" w:color="auto" w:fill="auto"/>
            <w:noWrap w:val="0"/>
            <w:vAlign w:val="top"/>
          </w:tcPr>
          <w:p w14:paraId="27C0BE3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9个</w:t>
            </w:r>
          </w:p>
        </w:tc>
        <w:tc>
          <w:tcPr>
            <w:tcW w:w="1792" w:type="dxa"/>
            <w:shd w:val="clear" w:color="auto" w:fill="auto"/>
            <w:noWrap w:val="0"/>
            <w:vAlign w:val="top"/>
          </w:tcPr>
          <w:p w14:paraId="2A0271A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1台</w:t>
            </w:r>
          </w:p>
        </w:tc>
        <w:tc>
          <w:tcPr>
            <w:tcW w:w="1139" w:type="dxa"/>
            <w:noWrap w:val="0"/>
            <w:vAlign w:val="top"/>
          </w:tcPr>
          <w:p w14:paraId="3961FA6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4C81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noWrap w:val="0"/>
            <w:vAlign w:val="top"/>
          </w:tcPr>
          <w:p w14:paraId="28B8CCD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3</w:t>
            </w:r>
          </w:p>
        </w:tc>
        <w:tc>
          <w:tcPr>
            <w:tcW w:w="2552" w:type="dxa"/>
            <w:shd w:val="clear" w:color="auto" w:fill="auto"/>
            <w:noWrap w:val="0"/>
            <w:vAlign w:val="top"/>
          </w:tcPr>
          <w:p w14:paraId="4BF61686">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生活区</w:t>
            </w:r>
            <w:r>
              <w:rPr>
                <w:rFonts w:hint="eastAsia" w:asciiTheme="minorEastAsia" w:hAnsiTheme="minorEastAsia" w:eastAsiaTheme="minorEastAsia" w:cstheme="minorEastAsia"/>
                <w:sz w:val="21"/>
                <w:szCs w:val="21"/>
                <w:highlight w:val="none"/>
                <w:lang w:eastAsia="zh"/>
              </w:rPr>
              <w:t>监控（含食堂监控）</w:t>
            </w:r>
          </w:p>
        </w:tc>
        <w:tc>
          <w:tcPr>
            <w:tcW w:w="2168" w:type="dxa"/>
            <w:shd w:val="clear" w:color="auto" w:fill="auto"/>
            <w:noWrap w:val="0"/>
            <w:vAlign w:val="top"/>
          </w:tcPr>
          <w:p w14:paraId="44E5A2C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9个</w:t>
            </w:r>
          </w:p>
        </w:tc>
        <w:tc>
          <w:tcPr>
            <w:tcW w:w="1792" w:type="dxa"/>
            <w:shd w:val="clear" w:color="auto" w:fill="auto"/>
            <w:noWrap w:val="0"/>
            <w:vAlign w:val="top"/>
          </w:tcPr>
          <w:p w14:paraId="1412E26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2台</w:t>
            </w:r>
          </w:p>
        </w:tc>
        <w:tc>
          <w:tcPr>
            <w:tcW w:w="1139" w:type="dxa"/>
            <w:noWrap w:val="0"/>
            <w:vAlign w:val="top"/>
          </w:tcPr>
          <w:p w14:paraId="2AB787D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6EA7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9" w:type="dxa"/>
            <w:noWrap w:val="0"/>
            <w:vAlign w:val="top"/>
          </w:tcPr>
          <w:p w14:paraId="526A90B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4</w:t>
            </w:r>
          </w:p>
        </w:tc>
        <w:tc>
          <w:tcPr>
            <w:tcW w:w="2552" w:type="dxa"/>
            <w:noWrap w:val="0"/>
            <w:vAlign w:val="top"/>
          </w:tcPr>
          <w:p w14:paraId="207C882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生活区大门道闸</w:t>
            </w:r>
          </w:p>
        </w:tc>
        <w:tc>
          <w:tcPr>
            <w:tcW w:w="2168" w:type="dxa"/>
            <w:noWrap w:val="0"/>
            <w:vAlign w:val="top"/>
          </w:tcPr>
          <w:p w14:paraId="2C5ED2D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1套</w:t>
            </w:r>
          </w:p>
        </w:tc>
        <w:tc>
          <w:tcPr>
            <w:tcW w:w="1792" w:type="dxa"/>
            <w:noWrap w:val="0"/>
            <w:vAlign w:val="top"/>
          </w:tcPr>
          <w:p w14:paraId="6D0522D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c>
          <w:tcPr>
            <w:tcW w:w="1139" w:type="dxa"/>
            <w:noWrap w:val="0"/>
            <w:vAlign w:val="top"/>
          </w:tcPr>
          <w:p w14:paraId="553A8FB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228A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9" w:type="dxa"/>
            <w:noWrap w:val="0"/>
            <w:vAlign w:val="top"/>
          </w:tcPr>
          <w:p w14:paraId="3D84FCA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5</w:t>
            </w:r>
          </w:p>
        </w:tc>
        <w:tc>
          <w:tcPr>
            <w:tcW w:w="2552" w:type="dxa"/>
            <w:noWrap w:val="0"/>
            <w:vAlign w:val="top"/>
          </w:tcPr>
          <w:p w14:paraId="483C1DD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生活区人脸识别</w:t>
            </w:r>
          </w:p>
        </w:tc>
        <w:tc>
          <w:tcPr>
            <w:tcW w:w="2168" w:type="dxa"/>
            <w:noWrap w:val="0"/>
            <w:vAlign w:val="top"/>
          </w:tcPr>
          <w:p w14:paraId="77C520C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1套</w:t>
            </w:r>
          </w:p>
        </w:tc>
        <w:tc>
          <w:tcPr>
            <w:tcW w:w="1792" w:type="dxa"/>
            <w:noWrap w:val="0"/>
            <w:vAlign w:val="top"/>
          </w:tcPr>
          <w:p w14:paraId="476EBBD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c>
          <w:tcPr>
            <w:tcW w:w="1139" w:type="dxa"/>
            <w:noWrap w:val="0"/>
            <w:vAlign w:val="top"/>
          </w:tcPr>
          <w:p w14:paraId="5FB2F64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3A0C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9" w:type="dxa"/>
            <w:noWrap w:val="0"/>
            <w:vAlign w:val="top"/>
          </w:tcPr>
          <w:p w14:paraId="4E57CFE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6</w:t>
            </w:r>
          </w:p>
        </w:tc>
        <w:tc>
          <w:tcPr>
            <w:tcW w:w="2552" w:type="dxa"/>
            <w:noWrap w:val="0"/>
            <w:vAlign w:val="top"/>
          </w:tcPr>
          <w:p w14:paraId="40D0C6D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厂区大门</w:t>
            </w:r>
            <w:r>
              <w:rPr>
                <w:rFonts w:hint="eastAsia" w:asciiTheme="minorEastAsia" w:hAnsiTheme="minorEastAsia" w:eastAsiaTheme="minorEastAsia" w:cstheme="minorEastAsia"/>
                <w:sz w:val="21"/>
                <w:szCs w:val="21"/>
                <w:highlight w:val="none"/>
                <w:lang w:val="en-US" w:eastAsia="zh-CN"/>
              </w:rPr>
              <w:t>道闸</w:t>
            </w:r>
          </w:p>
        </w:tc>
        <w:tc>
          <w:tcPr>
            <w:tcW w:w="2168" w:type="dxa"/>
            <w:noWrap w:val="0"/>
            <w:vAlign w:val="top"/>
          </w:tcPr>
          <w:p w14:paraId="5044910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3套</w:t>
            </w:r>
          </w:p>
        </w:tc>
        <w:tc>
          <w:tcPr>
            <w:tcW w:w="1792" w:type="dxa"/>
            <w:noWrap w:val="0"/>
            <w:vAlign w:val="top"/>
          </w:tcPr>
          <w:p w14:paraId="723EBAB9">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c>
          <w:tcPr>
            <w:tcW w:w="1139" w:type="dxa"/>
            <w:noWrap w:val="0"/>
            <w:vAlign w:val="top"/>
          </w:tcPr>
          <w:p w14:paraId="312A949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0BF3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9" w:type="dxa"/>
            <w:noWrap w:val="0"/>
            <w:vAlign w:val="top"/>
          </w:tcPr>
          <w:p w14:paraId="6B6708C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7</w:t>
            </w:r>
          </w:p>
        </w:tc>
        <w:tc>
          <w:tcPr>
            <w:tcW w:w="2552" w:type="dxa"/>
            <w:noWrap w:val="0"/>
            <w:vAlign w:val="top"/>
          </w:tcPr>
          <w:p w14:paraId="0D91066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lang w:val="en-US" w:eastAsia="zh-CN"/>
              </w:rPr>
              <w:t>厂区人脸识别</w:t>
            </w:r>
          </w:p>
        </w:tc>
        <w:tc>
          <w:tcPr>
            <w:tcW w:w="2168" w:type="dxa"/>
            <w:noWrap w:val="0"/>
            <w:vAlign w:val="top"/>
          </w:tcPr>
          <w:p w14:paraId="7EF343C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3套</w:t>
            </w:r>
          </w:p>
        </w:tc>
        <w:tc>
          <w:tcPr>
            <w:tcW w:w="1792" w:type="dxa"/>
            <w:noWrap w:val="0"/>
            <w:vAlign w:val="top"/>
          </w:tcPr>
          <w:p w14:paraId="79651CA4">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c>
          <w:tcPr>
            <w:tcW w:w="1139" w:type="dxa"/>
            <w:noWrap w:val="0"/>
            <w:vAlign w:val="top"/>
          </w:tcPr>
          <w:p w14:paraId="45EEBAE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129A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9" w:type="dxa"/>
            <w:noWrap w:val="0"/>
            <w:vAlign w:val="top"/>
          </w:tcPr>
          <w:p w14:paraId="39F720F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8</w:t>
            </w:r>
          </w:p>
        </w:tc>
        <w:tc>
          <w:tcPr>
            <w:tcW w:w="2552" w:type="dxa"/>
            <w:noWrap w:val="0"/>
            <w:vAlign w:val="top"/>
          </w:tcPr>
          <w:p w14:paraId="452C294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环保洗轮机道闸</w:t>
            </w:r>
          </w:p>
        </w:tc>
        <w:tc>
          <w:tcPr>
            <w:tcW w:w="2168" w:type="dxa"/>
            <w:noWrap w:val="0"/>
            <w:vAlign w:val="top"/>
          </w:tcPr>
          <w:p w14:paraId="4682737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3套</w:t>
            </w:r>
          </w:p>
        </w:tc>
        <w:tc>
          <w:tcPr>
            <w:tcW w:w="1792" w:type="dxa"/>
            <w:noWrap w:val="0"/>
            <w:vAlign w:val="top"/>
          </w:tcPr>
          <w:p w14:paraId="626C61A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c>
          <w:tcPr>
            <w:tcW w:w="1139" w:type="dxa"/>
            <w:noWrap w:val="0"/>
            <w:vAlign w:val="top"/>
          </w:tcPr>
          <w:p w14:paraId="3EF4EBE0">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r w14:paraId="0C1C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69" w:type="dxa"/>
            <w:noWrap w:val="0"/>
            <w:vAlign w:val="top"/>
          </w:tcPr>
          <w:p w14:paraId="68F12AA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w:t>
            </w:r>
            <w:r>
              <w:rPr>
                <w:rFonts w:hint="eastAsia" w:asciiTheme="minorEastAsia" w:hAnsiTheme="minorEastAsia" w:eastAsiaTheme="minorEastAsia" w:cstheme="minorEastAsia"/>
                <w:sz w:val="21"/>
                <w:szCs w:val="21"/>
                <w:highlight w:val="none"/>
                <w:vertAlign w:val="baseline"/>
                <w:lang w:val="en-US" w:eastAsia="zh-CN"/>
              </w:rPr>
              <w:t>9</w:t>
            </w:r>
          </w:p>
        </w:tc>
        <w:tc>
          <w:tcPr>
            <w:tcW w:w="2552" w:type="dxa"/>
            <w:noWrap w:val="0"/>
            <w:vAlign w:val="top"/>
          </w:tcPr>
          <w:p w14:paraId="50F21B18">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电子围栏系统</w:t>
            </w:r>
          </w:p>
        </w:tc>
        <w:tc>
          <w:tcPr>
            <w:tcW w:w="2168" w:type="dxa"/>
            <w:noWrap w:val="0"/>
            <w:vAlign w:val="top"/>
          </w:tcPr>
          <w:p w14:paraId="461DF01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
              </w:rPr>
              <w:t>2</w:t>
            </w:r>
            <w:r>
              <w:rPr>
                <w:rFonts w:hint="eastAsia" w:asciiTheme="minorEastAsia" w:hAnsiTheme="minorEastAsia" w:eastAsiaTheme="minorEastAsia" w:cstheme="minorEastAsia"/>
                <w:sz w:val="21"/>
                <w:szCs w:val="21"/>
                <w:highlight w:val="none"/>
                <w:vertAlign w:val="baseline"/>
                <w:lang w:val="en-US" w:eastAsia="zh-CN"/>
              </w:rPr>
              <w:t>套</w:t>
            </w:r>
          </w:p>
        </w:tc>
        <w:tc>
          <w:tcPr>
            <w:tcW w:w="1792" w:type="dxa"/>
            <w:noWrap w:val="0"/>
            <w:vAlign w:val="top"/>
          </w:tcPr>
          <w:p w14:paraId="04A2594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c>
          <w:tcPr>
            <w:tcW w:w="1139" w:type="dxa"/>
            <w:noWrap w:val="0"/>
            <w:vAlign w:val="top"/>
          </w:tcPr>
          <w:p w14:paraId="61B6A7A1">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vertAlign w:val="baseline"/>
                <w:lang w:val="en-US" w:eastAsia="zh-CN"/>
              </w:rPr>
            </w:pPr>
          </w:p>
        </w:tc>
      </w:tr>
    </w:tbl>
    <w:p w14:paraId="2C8F038D">
      <w:pPr>
        <w:pStyle w:val="7"/>
        <w:spacing w:line="360" w:lineRule="auto"/>
        <w:rPr>
          <w:rFonts w:hint="eastAsia" w:asciiTheme="minorEastAsia" w:hAnsiTheme="minorEastAsia" w:eastAsiaTheme="minorEastAsia" w:cstheme="minorEastAsia"/>
          <w:sz w:val="21"/>
          <w:szCs w:val="21"/>
          <w:highlight w:val="none"/>
        </w:rPr>
      </w:pPr>
    </w:p>
    <w:p w14:paraId="4D81D35E">
      <w:pPr>
        <w:numPr>
          <w:ilvl w:val="0"/>
          <w:numId w:val="1"/>
        </w:numPr>
        <w:spacing w:before="234" w:beforeLines="75" w:line="360" w:lineRule="auto"/>
        <w:ind w:firstLine="420"/>
        <w:outlineLvl w:val="0"/>
        <w:rPr>
          <w:rFonts w:hint="eastAsia" w:asciiTheme="minorEastAsia" w:hAnsiTheme="minorEastAsia" w:eastAsiaTheme="minorEastAsia" w:cstheme="minorEastAsia"/>
          <w:sz w:val="21"/>
          <w:szCs w:val="21"/>
          <w:highlight w:val="none"/>
        </w:rPr>
      </w:pPr>
      <w:bookmarkStart w:id="13" w:name="_Toc459361978"/>
      <w:bookmarkStart w:id="14" w:name="_Toc910"/>
      <w:bookmarkStart w:id="15" w:name="_Toc7130"/>
      <w:bookmarkStart w:id="16" w:name="_Toc14753"/>
      <w:bookmarkStart w:id="17" w:name="_Toc410137064"/>
      <w:bookmarkStart w:id="18" w:name="_Toc30198"/>
      <w:bookmarkStart w:id="19" w:name="_Toc430783712"/>
      <w:r>
        <w:rPr>
          <w:rFonts w:hint="eastAsia" w:asciiTheme="minorEastAsia" w:hAnsiTheme="minorEastAsia" w:eastAsiaTheme="minorEastAsia" w:cstheme="minorEastAsia"/>
          <w:color w:val="auto"/>
          <w:sz w:val="21"/>
          <w:szCs w:val="21"/>
          <w:highlight w:val="none"/>
        </w:rPr>
        <w:t>标准规范</w:t>
      </w:r>
      <w:bookmarkEnd w:id="13"/>
      <w:bookmarkEnd w:id="14"/>
      <w:bookmarkEnd w:id="15"/>
      <w:bookmarkEnd w:id="16"/>
      <w:bookmarkEnd w:id="17"/>
      <w:bookmarkEnd w:id="18"/>
      <w:bookmarkEnd w:id="19"/>
    </w:p>
    <w:p w14:paraId="21F24607">
      <w:pPr>
        <w:spacing w:line="360" w:lineRule="auto"/>
        <w:ind w:firstLine="420" w:firstLineChars="200"/>
        <w:rPr>
          <w:rFonts w:hint="eastAsia"/>
          <w:sz w:val="21"/>
          <w:szCs w:val="21"/>
          <w:highlight w:val="none"/>
          <w:lang w:eastAsia="zh-CN"/>
        </w:rPr>
      </w:pPr>
      <w:r>
        <w:rPr>
          <w:rFonts w:hint="eastAsia"/>
          <w:sz w:val="21"/>
          <w:szCs w:val="21"/>
          <w:highlight w:val="none"/>
          <w:lang w:eastAsia="zh-CN"/>
        </w:rPr>
        <w:t>本技术</w:t>
      </w:r>
      <w:r>
        <w:rPr>
          <w:rFonts w:hint="eastAsia"/>
          <w:sz w:val="21"/>
          <w:szCs w:val="21"/>
          <w:highlight w:val="none"/>
          <w:lang w:val="en-US" w:eastAsia="zh-CN"/>
        </w:rPr>
        <w:t>规范</w:t>
      </w:r>
      <w:r>
        <w:rPr>
          <w:rFonts w:hint="eastAsia"/>
          <w:sz w:val="21"/>
          <w:szCs w:val="21"/>
          <w:highlight w:val="none"/>
          <w:lang w:eastAsia="zh-CN"/>
        </w:rPr>
        <w:t>书中已明确的按本技术规格书要求执行；凡本技术</w:t>
      </w:r>
      <w:r>
        <w:rPr>
          <w:rFonts w:hint="eastAsia"/>
          <w:sz w:val="21"/>
          <w:szCs w:val="21"/>
          <w:highlight w:val="none"/>
          <w:lang w:val="en-US" w:eastAsia="zh-CN"/>
        </w:rPr>
        <w:t>规范书</w:t>
      </w:r>
      <w:r>
        <w:rPr>
          <w:rFonts w:hint="eastAsia"/>
          <w:sz w:val="21"/>
          <w:szCs w:val="21"/>
          <w:highlight w:val="none"/>
          <w:lang w:eastAsia="zh-CN"/>
        </w:rPr>
        <w:t>中未提及，按有关国家</w:t>
      </w:r>
      <w:r>
        <w:rPr>
          <w:rFonts w:hint="eastAsia"/>
          <w:sz w:val="21"/>
          <w:szCs w:val="21"/>
          <w:highlight w:val="none"/>
          <w:lang w:eastAsia="zh"/>
        </w:rPr>
        <w:t>及行业</w:t>
      </w:r>
      <w:r>
        <w:rPr>
          <w:rFonts w:hint="eastAsia"/>
          <w:sz w:val="21"/>
          <w:szCs w:val="21"/>
          <w:highlight w:val="none"/>
          <w:lang w:eastAsia="zh-CN"/>
        </w:rPr>
        <w:t>标准最新建议执行。</w:t>
      </w:r>
    </w:p>
    <w:p w14:paraId="3E6E8C94">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《工业电视系统工程设计规范》       GB</w:t>
      </w:r>
      <w:r>
        <w:rPr>
          <w:rFonts w:hint="eastAsia" w:asciiTheme="minorEastAsia" w:hAnsiTheme="minorEastAsia" w:eastAsiaTheme="minorEastAsia" w:cstheme="minorEastAsia"/>
          <w:sz w:val="21"/>
          <w:szCs w:val="21"/>
          <w:highlight w:val="none"/>
          <w:lang w:val="en-US" w:eastAsia="zh-CN"/>
        </w:rPr>
        <w:t>/T500115</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2019</w:t>
      </w:r>
    </w:p>
    <w:p w14:paraId="7066CFBD">
      <w:p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《安防线缆应用技术要求》</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GA/T 1406-20</w:t>
      </w:r>
      <w:r>
        <w:rPr>
          <w:rFonts w:hint="eastAsia" w:asciiTheme="minorEastAsia" w:hAnsiTheme="minorEastAsia" w:eastAsiaTheme="minorEastAsia" w:cstheme="minorEastAsia"/>
          <w:sz w:val="21"/>
          <w:szCs w:val="21"/>
          <w:highlight w:val="none"/>
          <w:lang w:val="en-US" w:eastAsia="zh-CN"/>
        </w:rPr>
        <w:t>23</w:t>
      </w:r>
    </w:p>
    <w:p w14:paraId="2413C8EB">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《视频安防监控系统工程设计规范》</w:t>
      </w:r>
      <w:r>
        <w:rPr>
          <w:rFonts w:hint="eastAsia" w:asciiTheme="minorEastAsia" w:hAnsiTheme="minorEastAsia" w:eastAsiaTheme="minorEastAsia" w:cstheme="minorEastAsia"/>
          <w:sz w:val="21"/>
          <w:szCs w:val="21"/>
          <w:highlight w:val="none"/>
          <w:lang w:val="en-US" w:eastAsia="zh-CN"/>
        </w:rPr>
        <w:t xml:space="preserve">   </w:t>
      </w:r>
      <w:bookmarkStart w:id="20" w:name="OLE_LINK3"/>
      <w:r>
        <w:rPr>
          <w:rFonts w:hint="eastAsia" w:asciiTheme="minorEastAsia" w:hAnsiTheme="minorEastAsia" w:eastAsiaTheme="minorEastAsia" w:cstheme="minorEastAsia"/>
          <w:sz w:val="21"/>
          <w:szCs w:val="21"/>
          <w:highlight w:val="none"/>
          <w:lang w:eastAsia="zh-CN"/>
        </w:rPr>
        <w:t>GB 50395-2007</w:t>
      </w:r>
      <w:bookmarkEnd w:id="20"/>
    </w:p>
    <w:p w14:paraId="21329237">
      <w:p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GB"/>
        </w:rPr>
        <w:t xml:space="preserve">《火力发电厂设计技术规程》       </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val="en-GB"/>
        </w:rPr>
        <w:t xml:space="preserve"> DL 5000-2000 </w:t>
      </w:r>
    </w:p>
    <w:p w14:paraId="264DE65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机动车测速仪</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rPr>
        <w:t> GB/T 21255-2019</w:t>
      </w:r>
    </w:p>
    <w:p w14:paraId="5A61AFEB">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default" w:asciiTheme="minorEastAsia" w:hAnsiTheme="minorEastAsia" w:eastAsiaTheme="minorEastAsia" w:cstheme="minorEastAsia"/>
          <w:sz w:val="21"/>
          <w:szCs w:val="21"/>
          <w:highlight w:val="none"/>
        </w:rPr>
        <w:t>公路车辆智能监测记录系统通用技术条件</w:t>
      </w:r>
      <w:r>
        <w:rPr>
          <w:rFonts w:hint="eastAsia" w:asciiTheme="minorEastAsia" w:hAnsiTheme="minorEastAsia" w:eastAsiaTheme="minorEastAsia" w:cstheme="minorEastAsia"/>
          <w:sz w:val="21"/>
          <w:szCs w:val="21"/>
          <w:highlight w:val="none"/>
          <w:lang w:eastAsia="zh-CN"/>
        </w:rPr>
        <w:t>》</w:t>
      </w:r>
      <w:r>
        <w:rPr>
          <w:rFonts w:hint="default" w:asciiTheme="minorEastAsia" w:hAnsiTheme="minorEastAsia" w:eastAsiaTheme="minorEastAsia" w:cstheme="minorEastAsia"/>
          <w:sz w:val="21"/>
          <w:szCs w:val="21"/>
          <w:highlight w:val="none"/>
        </w:rPr>
        <w:t>GA/T 497-2009</w:t>
      </w:r>
    </w:p>
    <w:p w14:paraId="1AAB8E89">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《张力式电子围栏通用技术要求》</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lang w:eastAsia="zh-CN"/>
        </w:rPr>
        <w:t>GA/T 1032-2013</w:t>
      </w:r>
    </w:p>
    <w:p w14:paraId="129369A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《电线电缆识别标志》 GB6995-86  </w:t>
      </w:r>
    </w:p>
    <w:p w14:paraId="46BD453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《建筑物防雷设计规范2000年版》 GB 50057-94 </w:t>
      </w:r>
    </w:p>
    <w:p w14:paraId="5365077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《建筑物电子信息系统防雷技术规范》 GB 50343-2004</w:t>
      </w:r>
    </w:p>
    <w:p w14:paraId="1032A5D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《综合布线系统工程设计规范》 GB/T 50311-2007  </w:t>
      </w:r>
    </w:p>
    <w:p w14:paraId="52A5420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《综合布线系统工程验收规范》 GB/T 50312-2007   </w:t>
      </w:r>
    </w:p>
    <w:p w14:paraId="2AEE004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《火力发电厂热工自动化就地设备安装、管路及电缆设计技术规定》 DL/T 5182</w:t>
      </w:r>
    </w:p>
    <w:p w14:paraId="4090135A">
      <w:pPr>
        <w:keepNext w:val="0"/>
        <w:keepLines w:val="0"/>
        <w:widowControl w:val="0"/>
        <w:suppressLineNumbers w:val="0"/>
        <w:spacing w:before="0" w:beforeAutospacing="0" w:after="0" w:afterAutospacing="0" w:line="360" w:lineRule="auto"/>
        <w:ind w:left="0" w:right="0"/>
        <w:jc w:val="both"/>
        <w:rPr>
          <w:rFonts w:hint="eastAsia"/>
          <w:highlight w:val="none"/>
          <w:lang w:eastAsia="zh-CN"/>
        </w:rPr>
      </w:pPr>
      <w:r>
        <w:rPr>
          <w:rFonts w:hint="eastAsia" w:ascii="宋体" w:hAnsi="宋体" w:eastAsia="宋体" w:cs="宋体"/>
          <w:kern w:val="2"/>
          <w:sz w:val="21"/>
          <w:szCs w:val="21"/>
          <w:highlight w:val="none"/>
          <w:lang w:val="en-US" w:eastAsia="zh-CN" w:bidi="ar"/>
        </w:rPr>
        <w:t>《电力建设施工技术协议 第4部分：热工仪表及控制装置》 DL/T 5190.4-2019</w:t>
      </w:r>
    </w:p>
    <w:p w14:paraId="686EDD2D">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《安全生产监督规定》</w:t>
      </w:r>
    </w:p>
    <w:p w14:paraId="5605FCE1">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《电力建设文明施工规定及考核办法》</w:t>
      </w:r>
    </w:p>
    <w:p w14:paraId="07B28F9B">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《电业安全工作规程》</w:t>
      </w:r>
    </w:p>
    <w:p w14:paraId="290904E5">
      <w:pPr>
        <w:spacing w:line="360" w:lineRule="auto"/>
        <w:rPr>
          <w:rFonts w:hint="eastAsia"/>
          <w:highlight w:val="none"/>
          <w:lang w:val="en-US" w:eastAsia="zh-CN"/>
        </w:rPr>
      </w:pPr>
      <w:r>
        <w:rPr>
          <w:rFonts w:hint="eastAsia" w:asciiTheme="minorEastAsia" w:hAnsiTheme="minorEastAsia" w:eastAsiaTheme="minorEastAsia" w:cstheme="minorEastAsia"/>
          <w:sz w:val="21"/>
          <w:szCs w:val="21"/>
          <w:highlight w:val="none"/>
          <w:lang w:eastAsia="zh-CN"/>
        </w:rPr>
        <w:t>《电</w:t>
      </w:r>
      <w:r>
        <w:rPr>
          <w:rFonts w:hint="eastAsia" w:ascii="宋体" w:hAnsi="宋体" w:eastAsia="宋体" w:cs="宋体"/>
          <w:b w:val="0"/>
          <w:bCs/>
          <w:color w:val="auto"/>
          <w:kern w:val="2"/>
          <w:sz w:val="21"/>
          <w:szCs w:val="21"/>
          <w:highlight w:val="none"/>
          <w:lang w:val="en-US" w:eastAsia="zh-CN" w:bidi="ar-SA"/>
        </w:rPr>
        <w:t>力建设施工、验收及质量验评标准汇编》</w:t>
      </w:r>
    </w:p>
    <w:p w14:paraId="5F2A3D8F">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《设备巡回检查管理标准》</w:t>
      </w:r>
    </w:p>
    <w:p w14:paraId="0379DC6A">
      <w:pPr>
        <w:spacing w:line="360" w:lineRule="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《设备缺陷管理标准》</w:t>
      </w:r>
    </w:p>
    <w:p w14:paraId="6DF07181">
      <w:pPr>
        <w:spacing w:line="360" w:lineRule="auto"/>
        <w:rPr>
          <w:rFonts w:hint="eastAsia" w:asciiTheme="minorEastAsia" w:hAnsiTheme="minorEastAsia" w:eastAsiaTheme="minorEastAsia" w:cstheme="minorEastAsia"/>
          <w:sz w:val="21"/>
          <w:szCs w:val="21"/>
          <w:highlight w:val="none"/>
          <w:lang w:eastAsia="zh-CN"/>
        </w:rPr>
      </w:pPr>
      <w:r>
        <w:rPr>
          <w:rFonts w:hint="eastAsia" w:ascii="宋体" w:hAnsi="宋体" w:eastAsia="宋体" w:cs="宋体"/>
          <w:b w:val="0"/>
          <w:bCs/>
          <w:color w:val="auto"/>
          <w:kern w:val="2"/>
          <w:sz w:val="21"/>
          <w:szCs w:val="21"/>
          <w:highlight w:val="none"/>
          <w:lang w:val="en-US" w:eastAsia="zh-CN" w:bidi="ar-SA"/>
        </w:rPr>
        <w:t>《运行规程及系</w:t>
      </w:r>
      <w:r>
        <w:rPr>
          <w:rFonts w:hint="eastAsia" w:asciiTheme="minorEastAsia" w:hAnsiTheme="minorEastAsia" w:eastAsiaTheme="minorEastAsia" w:cstheme="minorEastAsia"/>
          <w:sz w:val="21"/>
          <w:szCs w:val="21"/>
          <w:highlight w:val="none"/>
          <w:lang w:eastAsia="zh-CN"/>
        </w:rPr>
        <w:t>统图管理标准》</w:t>
      </w:r>
    </w:p>
    <w:p w14:paraId="01BA2729">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《安全生产奖惩规定》</w:t>
      </w:r>
    </w:p>
    <w:p w14:paraId="7FCD265E">
      <w:pPr>
        <w:keepNext w:val="0"/>
        <w:keepLines w:val="0"/>
        <w:widowControl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其他</w:t>
      </w:r>
      <w:r>
        <w:rPr>
          <w:rFonts w:hint="eastAsia" w:ascii="宋体" w:hAnsi="宋体" w:eastAsia="宋体" w:cs="宋体"/>
          <w:kern w:val="2"/>
          <w:sz w:val="21"/>
          <w:szCs w:val="21"/>
          <w:highlight w:val="none"/>
          <w:lang w:val="en-US" w:eastAsia="zh-CN" w:bidi="ar"/>
        </w:rPr>
        <w:t>川南发电有限责任公司</w:t>
      </w:r>
      <w:r>
        <w:rPr>
          <w:rFonts w:hint="eastAsia" w:asciiTheme="minorEastAsia" w:hAnsiTheme="minorEastAsia" w:eastAsiaTheme="minorEastAsia" w:cstheme="minorEastAsia"/>
          <w:sz w:val="21"/>
          <w:szCs w:val="21"/>
          <w:highlight w:val="none"/>
          <w:lang w:eastAsia="zh-CN"/>
        </w:rPr>
        <w:t>的有关安</w:t>
      </w:r>
      <w:r>
        <w:rPr>
          <w:rFonts w:hint="eastAsia" w:asciiTheme="minorEastAsia" w:hAnsiTheme="minorEastAsia" w:eastAsiaTheme="minorEastAsia" w:cstheme="minorEastAsia"/>
          <w:sz w:val="21"/>
          <w:szCs w:val="21"/>
          <w:highlight w:val="none"/>
          <w:lang w:eastAsia="zh-CN"/>
        </w:rPr>
        <w:t>全管理的规定</w:t>
      </w:r>
    </w:p>
    <w:p w14:paraId="3CB7709C">
      <w:pPr>
        <w:numPr>
          <w:ilvl w:val="0"/>
          <w:numId w:val="1"/>
        </w:numPr>
        <w:spacing w:before="234" w:beforeLines="75" w:line="360" w:lineRule="auto"/>
        <w:ind w:firstLine="420"/>
        <w:outlineLvl w:val="0"/>
        <w:rPr>
          <w:rFonts w:hint="eastAsia"/>
          <w:highlight w:val="none"/>
        </w:rPr>
      </w:pPr>
      <w:bookmarkStart w:id="21" w:name="_Toc1474"/>
      <w:bookmarkStart w:id="22" w:name="_Toc7327"/>
      <w:r>
        <w:rPr>
          <w:rFonts w:hint="eastAsia" w:asciiTheme="minorEastAsia" w:hAnsiTheme="minorEastAsia" w:eastAsiaTheme="minorEastAsia" w:cstheme="minorEastAsia"/>
          <w:color w:val="auto"/>
          <w:sz w:val="21"/>
          <w:szCs w:val="21"/>
          <w:highlight w:val="none"/>
          <w:lang w:val="en-US" w:eastAsia="zh-CN"/>
        </w:rPr>
        <w:t>工作范围、内容</w:t>
      </w:r>
      <w:bookmarkEnd w:id="21"/>
      <w:r>
        <w:rPr>
          <w:rFonts w:hint="eastAsia" w:asciiTheme="minorEastAsia" w:hAnsiTheme="minorEastAsia" w:eastAsiaTheme="minorEastAsia" w:cstheme="minorEastAsia"/>
          <w:color w:val="auto"/>
          <w:sz w:val="21"/>
          <w:szCs w:val="21"/>
          <w:highlight w:val="none"/>
          <w:lang w:val="en-US" w:eastAsia="zh-CN"/>
        </w:rPr>
        <w:t>及要求</w:t>
      </w:r>
      <w:bookmarkEnd w:id="22"/>
    </w:p>
    <w:p w14:paraId="2EE69E2B">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CN"/>
        </w:rPr>
      </w:pPr>
      <w:r>
        <w:rPr>
          <w:rFonts w:hint="eastAsia" w:eastAsia="宋体" w:cs="Times New Roman"/>
          <w:highlight w:val="none"/>
          <w:lang w:val="en-US" w:eastAsia="zh-CN"/>
        </w:rPr>
        <w:t>4.1 工作范围</w:t>
      </w:r>
    </w:p>
    <w:p w14:paraId="0C1FB956">
      <w:pPr>
        <w:keepNext w:val="0"/>
        <w:keepLines w:val="0"/>
        <w:widowControl/>
        <w:suppressLineNumbers w:val="0"/>
        <w:spacing w:before="0" w:beforeAutospacing="0" w:after="0" w:afterAutospacing="0" w:line="360" w:lineRule="auto"/>
        <w:ind w:left="0" w:leftChars="0" w:right="0" w:firstLine="420" w:firstLineChars="200"/>
        <w:jc w:val="both"/>
        <w:rPr>
          <w:rFonts w:hint="eastAsia" w:ascii="宋体" w:hAnsi="宋体" w:eastAsia="宋体" w:cs="宋体"/>
          <w:kern w:val="2"/>
          <w:sz w:val="21"/>
          <w:szCs w:val="21"/>
          <w:highlight w:val="none"/>
          <w:lang w:val="en-US" w:eastAsia="zh" w:bidi="ar"/>
        </w:rPr>
      </w:pPr>
      <w:r>
        <w:rPr>
          <w:rFonts w:hint="eastAsia" w:asciiTheme="minorEastAsia" w:hAnsiTheme="minorEastAsia" w:eastAsiaTheme="minorEastAsia" w:cstheme="minorEastAsia"/>
          <w:kern w:val="2"/>
          <w:sz w:val="21"/>
          <w:szCs w:val="21"/>
          <w:highlight w:val="none"/>
          <w:lang w:val="en-US" w:eastAsia="zh-CN" w:bidi="ar-SA"/>
        </w:rPr>
        <w:t>比选申请人</w:t>
      </w:r>
      <w:r>
        <w:rPr>
          <w:rFonts w:hint="eastAsia" w:asciiTheme="minorEastAsia" w:hAnsiTheme="minorEastAsia" w:eastAsiaTheme="minorEastAsia" w:cstheme="minorEastAsia"/>
          <w:kern w:val="2"/>
          <w:sz w:val="21"/>
          <w:szCs w:val="21"/>
          <w:highlight w:val="none"/>
          <w:lang w:val="en-US" w:eastAsia="zh-CN" w:bidi="ar-SA"/>
        </w:rPr>
        <w:t>负责</w:t>
      </w:r>
      <w:r>
        <w:rPr>
          <w:rFonts w:hint="eastAsia" w:asciiTheme="minorEastAsia" w:hAnsiTheme="minorEastAsia" w:eastAsiaTheme="minorEastAsia" w:cstheme="minorEastAsia"/>
          <w:kern w:val="2"/>
          <w:sz w:val="21"/>
          <w:szCs w:val="21"/>
          <w:highlight w:val="none"/>
          <w:lang w:val="en-US" w:eastAsia="zh-CN" w:bidi="ar-SA"/>
        </w:rPr>
        <w:t>比选人厂区及生活区内除</w:t>
      </w:r>
      <w:r>
        <w:rPr>
          <w:rFonts w:hint="eastAsia" w:asciiTheme="minorEastAsia" w:hAnsiTheme="minorEastAsia" w:eastAsiaTheme="minorEastAsia" w:cstheme="minorEastAsia"/>
          <w:sz w:val="21"/>
          <w:szCs w:val="21"/>
          <w:highlight w:val="none"/>
          <w:lang w:val="en-US" w:eastAsia="zh-CN"/>
        </w:rPr>
        <w:t>输煤、审监、脱硫监控系统外的</w:t>
      </w:r>
      <w:r>
        <w:rPr>
          <w:rFonts w:hint="eastAsia" w:asciiTheme="minorEastAsia" w:hAnsiTheme="minorEastAsia" w:eastAsiaTheme="minorEastAsia" w:cstheme="minorEastAsia"/>
          <w:kern w:val="2"/>
          <w:sz w:val="21"/>
          <w:szCs w:val="21"/>
          <w:highlight w:val="none"/>
          <w:lang w:val="en-US" w:eastAsia="zh-CN" w:bidi="ar-SA"/>
        </w:rPr>
        <w:t>所有安防及监控系统的全部维护工作，</w:t>
      </w:r>
      <w:r>
        <w:rPr>
          <w:rFonts w:hint="eastAsia" w:ascii="宋体" w:hAnsi="宋体" w:eastAsia="宋体" w:cs="宋体"/>
          <w:kern w:val="2"/>
          <w:sz w:val="21"/>
          <w:szCs w:val="21"/>
          <w:highlight w:val="none"/>
          <w:lang w:val="en-US" w:eastAsia="zh-CN" w:bidi="ar"/>
        </w:rPr>
        <w:t>维护工作涵盖日常巡检、定期维护、故障维修、设备升级改造等方面</w:t>
      </w:r>
      <w:r>
        <w:rPr>
          <w:rFonts w:hint="eastAsia" w:ascii="宋体" w:hAnsi="宋体" w:eastAsia="宋体" w:cs="宋体"/>
          <w:kern w:val="2"/>
          <w:sz w:val="21"/>
          <w:szCs w:val="21"/>
          <w:highlight w:val="none"/>
          <w:lang w:val="en-US" w:eastAsia="zh" w:bidi="ar"/>
        </w:rPr>
        <w:t xml:space="preserve">。  </w:t>
      </w:r>
    </w:p>
    <w:p w14:paraId="7F915DCB">
      <w:pPr>
        <w:keepNext w:val="0"/>
        <w:keepLines w:val="0"/>
        <w:widowControl/>
        <w:suppressLineNumbers w:val="0"/>
        <w:spacing w:before="0" w:beforeAutospacing="0" w:after="0" w:afterAutospacing="0" w:line="360" w:lineRule="auto"/>
        <w:ind w:left="0" w:leftChars="0" w:right="0" w:firstLine="420" w:firstLineChars="200"/>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维护设备具体数量及概况应以现场实际为准，维护期间因维护区域需要新增少</w:t>
      </w:r>
      <w:r>
        <w:rPr>
          <w:rFonts w:hint="eastAsia" w:asciiTheme="minorEastAsia" w:hAnsiTheme="minorEastAsia" w:eastAsiaTheme="minorEastAsia" w:cstheme="minorEastAsia"/>
          <w:kern w:val="2"/>
          <w:sz w:val="21"/>
          <w:szCs w:val="21"/>
          <w:highlight w:val="none"/>
          <w:lang w:val="en-US" w:eastAsia="zh-CN" w:bidi="ar-SA"/>
        </w:rPr>
        <w:t>量安防和监控设备也在工作范围内，且不额外增加维护费用。</w:t>
      </w:r>
    </w:p>
    <w:p w14:paraId="60249E8B">
      <w:pPr>
        <w:keepNext w:val="0"/>
        <w:keepLines w:val="0"/>
        <w:widowControl/>
        <w:suppressLineNumbers w:val="0"/>
        <w:spacing w:before="0" w:beforeAutospacing="0" w:after="0" w:afterAutospacing="0" w:line="360" w:lineRule="auto"/>
        <w:ind w:left="0" w:leftChars="0" w:right="0" w:firstLine="420" w:firstLineChars="200"/>
        <w:jc w:val="both"/>
        <w:rPr>
          <w:rFonts w:hint="eastAsia" w:asciiTheme="minorEastAsia" w:hAnsiTheme="minorEastAsia" w:eastAsiaTheme="minorEastAsia" w:cstheme="minorEastAsia"/>
          <w:kern w:val="2"/>
          <w:sz w:val="21"/>
          <w:szCs w:val="21"/>
          <w:highlight w:val="none"/>
          <w:lang w:val="en-US" w:eastAsia="zh" w:bidi="ar-SA"/>
        </w:rPr>
      </w:pPr>
      <w:r>
        <w:rPr>
          <w:rFonts w:hint="eastAsia" w:asciiTheme="minorEastAsia" w:hAnsiTheme="minorEastAsia" w:eastAsiaTheme="minorEastAsia" w:cstheme="minorEastAsia"/>
          <w:kern w:val="2"/>
          <w:sz w:val="21"/>
          <w:szCs w:val="21"/>
          <w:highlight w:val="none"/>
          <w:lang w:val="en-US" w:eastAsia="zh" w:bidi="ar-SA"/>
        </w:rPr>
        <w:t>上位机系统中</w:t>
      </w:r>
      <w:r>
        <w:rPr>
          <w:rFonts w:hint="eastAsia" w:asciiTheme="minorEastAsia" w:hAnsiTheme="minorEastAsia" w:eastAsiaTheme="minorEastAsia" w:cstheme="minorEastAsia"/>
          <w:kern w:val="2"/>
          <w:sz w:val="21"/>
          <w:szCs w:val="21"/>
          <w:highlight w:val="none"/>
          <w:lang w:val="en-US" w:eastAsia="zh-CN" w:bidi="ar-SA"/>
        </w:rPr>
        <w:t>比选申请人</w:t>
      </w:r>
      <w:r>
        <w:rPr>
          <w:rFonts w:hint="eastAsia" w:asciiTheme="minorEastAsia" w:hAnsiTheme="minorEastAsia" w:eastAsiaTheme="minorEastAsia" w:cstheme="minorEastAsia"/>
          <w:kern w:val="2"/>
          <w:sz w:val="21"/>
          <w:szCs w:val="21"/>
          <w:highlight w:val="none"/>
          <w:lang w:val="en-US" w:eastAsia="zh" w:bidi="ar-SA"/>
        </w:rPr>
        <w:t>只负责在</w:t>
      </w:r>
      <w:r>
        <w:rPr>
          <w:rFonts w:hint="eastAsia" w:asciiTheme="minorEastAsia" w:hAnsiTheme="minorEastAsia" w:eastAsiaTheme="minorEastAsia" w:cstheme="minorEastAsia"/>
          <w:kern w:val="2"/>
          <w:sz w:val="21"/>
          <w:szCs w:val="21"/>
          <w:highlight w:val="none"/>
          <w:lang w:val="en-US" w:eastAsia="zh-CN" w:bidi="ar-SA"/>
        </w:rPr>
        <w:t>比选人</w:t>
      </w:r>
      <w:r>
        <w:rPr>
          <w:rFonts w:hint="eastAsia" w:asciiTheme="minorEastAsia" w:hAnsiTheme="minorEastAsia" w:eastAsiaTheme="minorEastAsia" w:cstheme="minorEastAsia"/>
          <w:kern w:val="2"/>
          <w:sz w:val="21"/>
          <w:szCs w:val="21"/>
          <w:highlight w:val="none"/>
          <w:lang w:val="en-US" w:eastAsia="zh" w:bidi="ar-SA"/>
        </w:rPr>
        <w:t>开放的权限下的常规浏览、检查操作。监控系统的系统配置（包含通道配置、网络配置、录像管理、权限配置、录像调取等），门禁系统配置及人员信息管理，道闸系统配置及车辆信息管理，电子围栏的系统配置等由</w:t>
      </w:r>
      <w:r>
        <w:rPr>
          <w:rFonts w:hint="eastAsia" w:asciiTheme="minorEastAsia" w:hAnsiTheme="minorEastAsia" w:eastAsiaTheme="minorEastAsia" w:cstheme="minorEastAsia"/>
          <w:kern w:val="2"/>
          <w:sz w:val="21"/>
          <w:szCs w:val="21"/>
          <w:highlight w:val="none"/>
          <w:lang w:val="en-US" w:eastAsia="zh-CN" w:bidi="ar-SA"/>
        </w:rPr>
        <w:t>比选人</w:t>
      </w:r>
      <w:r>
        <w:rPr>
          <w:rFonts w:hint="eastAsia" w:asciiTheme="minorEastAsia" w:hAnsiTheme="minorEastAsia" w:eastAsiaTheme="minorEastAsia" w:cstheme="minorEastAsia"/>
          <w:kern w:val="2"/>
          <w:sz w:val="21"/>
          <w:szCs w:val="21"/>
          <w:highlight w:val="none"/>
          <w:lang w:val="en-US" w:eastAsia="zh" w:bidi="ar-SA"/>
        </w:rPr>
        <w:t>负责，密码由</w:t>
      </w:r>
      <w:r>
        <w:rPr>
          <w:rFonts w:hint="eastAsia" w:asciiTheme="minorEastAsia" w:hAnsiTheme="minorEastAsia" w:eastAsiaTheme="minorEastAsia" w:cstheme="minorEastAsia"/>
          <w:kern w:val="2"/>
          <w:sz w:val="21"/>
          <w:szCs w:val="21"/>
          <w:highlight w:val="none"/>
          <w:lang w:val="en-US" w:eastAsia="zh-CN" w:bidi="ar-SA"/>
        </w:rPr>
        <w:t>比选人</w:t>
      </w:r>
      <w:r>
        <w:rPr>
          <w:rFonts w:hint="eastAsia" w:asciiTheme="minorEastAsia" w:hAnsiTheme="minorEastAsia" w:eastAsiaTheme="minorEastAsia" w:cstheme="minorEastAsia"/>
          <w:kern w:val="2"/>
          <w:sz w:val="21"/>
          <w:szCs w:val="21"/>
          <w:highlight w:val="none"/>
          <w:lang w:val="en-US" w:eastAsia="zh" w:bidi="ar-SA"/>
        </w:rPr>
        <w:t>管理。</w:t>
      </w:r>
    </w:p>
    <w:p w14:paraId="0D62B23A">
      <w:pPr>
        <w:spacing w:line="360" w:lineRule="auto"/>
        <w:outlineLvl w:val="2"/>
        <w:rPr>
          <w:rFonts w:hint="eastAsia" w:ascii="宋体" w:hAnsi="宋体" w:eastAsia="宋体" w:cs="宋体"/>
          <w:b w:val="0"/>
          <w:bCs/>
          <w:color w:val="auto"/>
          <w:kern w:val="2"/>
          <w:sz w:val="21"/>
          <w:szCs w:val="21"/>
          <w:highlight w:val="none"/>
          <w:lang w:val="en-US" w:eastAsia="zh-CN" w:bidi="ar-SA"/>
        </w:rPr>
      </w:pPr>
      <w:r>
        <w:rPr>
          <w:rFonts w:hint="default" w:eastAsia="宋体" w:cs="宋体" w:asciiTheme="minorAscii" w:hAnsiTheme="minorAscii"/>
          <w:b w:val="0"/>
          <w:bCs/>
          <w:color w:val="auto"/>
          <w:kern w:val="2"/>
          <w:sz w:val="21"/>
          <w:szCs w:val="21"/>
          <w:highlight w:val="none"/>
          <w:lang w:val="en-US" w:eastAsia="zh-CN" w:bidi="ar-SA"/>
        </w:rPr>
        <w:t>4.1.1</w:t>
      </w:r>
      <w:r>
        <w:rPr>
          <w:rFonts w:hint="eastAsia" w:ascii="宋体" w:hAnsi="宋体" w:eastAsia="宋体" w:cs="宋体"/>
          <w:b w:val="0"/>
          <w:bCs/>
          <w:color w:val="auto"/>
          <w:kern w:val="2"/>
          <w:sz w:val="21"/>
          <w:szCs w:val="21"/>
          <w:highlight w:val="none"/>
          <w:lang w:val="en-US" w:eastAsia="zh-CN" w:bidi="ar-SA"/>
        </w:rPr>
        <w:t>视频监控系统包括：</w:t>
      </w:r>
    </w:p>
    <w:p w14:paraId="112C4FB4">
      <w:pPr>
        <w:keepNext w:val="0"/>
        <w:keepLines w:val="0"/>
        <w:widowControl w:val="0"/>
        <w:numPr>
          <w:ilvl w:val="0"/>
          <w:numId w:val="0"/>
        </w:numPr>
        <w:suppressLineNumbers w:val="0"/>
        <w:spacing w:before="0" w:beforeAutospacing="0" w:after="0" w:afterAutospacing="0" w:line="360" w:lineRule="auto"/>
        <w:ind w:left="0" w:right="0"/>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视频监控系统维护范围包含摄像头及安装附件、</w:t>
      </w:r>
      <w:r>
        <w:rPr>
          <w:rFonts w:hint="eastAsia" w:asciiTheme="minorEastAsia" w:hAnsiTheme="minorEastAsia" w:eastAsiaTheme="minorEastAsia" w:cstheme="minorEastAsia"/>
          <w:sz w:val="21"/>
          <w:szCs w:val="21"/>
          <w:highlight w:val="none"/>
          <w:lang w:val="en-US" w:eastAsia="zh"/>
        </w:rPr>
        <w:t>监控</w:t>
      </w:r>
      <w:r>
        <w:rPr>
          <w:rFonts w:hint="eastAsia" w:asciiTheme="minorEastAsia" w:hAnsiTheme="minorEastAsia" w:eastAsiaTheme="minorEastAsia" w:cstheme="minorEastAsia"/>
          <w:sz w:val="21"/>
          <w:szCs w:val="21"/>
          <w:highlight w:val="none"/>
          <w:lang w:val="en-US" w:eastAsia="zh-CN"/>
        </w:rPr>
        <w:t>机柜及柜内设备、就地控制箱及箱内设备、网线、光缆、监控电源线</w:t>
      </w:r>
      <w:r>
        <w:rPr>
          <w:rFonts w:hint="eastAsia" w:asciiTheme="minorEastAsia" w:hAnsiTheme="minorEastAsia" w:eastAsiaTheme="minorEastAsia" w:cstheme="minorEastAsia"/>
          <w:sz w:val="21"/>
          <w:szCs w:val="21"/>
          <w:highlight w:val="none"/>
          <w:lang w:val="en-US" w:eastAsia="zh"/>
        </w:rPr>
        <w:t>、</w:t>
      </w:r>
      <w:r>
        <w:rPr>
          <w:rFonts w:hint="eastAsia" w:ascii="宋体" w:hAnsi="宋体" w:eastAsia="宋体" w:cs="宋体"/>
          <w:kern w:val="2"/>
          <w:sz w:val="21"/>
          <w:szCs w:val="21"/>
          <w:highlight w:val="none"/>
          <w:lang w:val="en-US" w:eastAsia="zh-CN" w:bidi="ar"/>
        </w:rPr>
        <w:t>监控电视、硬盘录像机等相关附件</w:t>
      </w:r>
      <w:r>
        <w:rPr>
          <w:rFonts w:hint="eastAsia" w:ascii="宋体" w:hAnsi="宋体" w:eastAsia="宋体" w:cs="宋体"/>
          <w:kern w:val="2"/>
          <w:sz w:val="21"/>
          <w:szCs w:val="21"/>
          <w:highlight w:val="none"/>
          <w:lang w:val="en-US" w:eastAsia="zh" w:bidi="ar"/>
        </w:rPr>
        <w:t>，</w:t>
      </w:r>
      <w:r>
        <w:rPr>
          <w:rFonts w:hint="eastAsia" w:asciiTheme="minorEastAsia" w:hAnsiTheme="minorEastAsia" w:eastAsiaTheme="minorEastAsia" w:cstheme="minorEastAsia"/>
          <w:sz w:val="21"/>
          <w:szCs w:val="21"/>
          <w:highlight w:val="none"/>
          <w:lang w:val="en-US" w:eastAsia="zh-CN"/>
        </w:rPr>
        <w:t>维</w:t>
      </w:r>
      <w:r>
        <w:rPr>
          <w:rFonts w:hint="eastAsia" w:asciiTheme="minorEastAsia" w:hAnsiTheme="minorEastAsia" w:eastAsiaTheme="minorEastAsia" w:cstheme="minorEastAsia"/>
          <w:sz w:val="21"/>
          <w:szCs w:val="21"/>
          <w:highlight w:val="none"/>
          <w:lang w:val="en-US" w:eastAsia="zh-CN"/>
        </w:rPr>
        <w:t>护范围内的监控系统包含以下部分：</w:t>
      </w:r>
    </w:p>
    <w:p w14:paraId="55AAABE4">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（1）#1、#2主机生产区域网络高清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lang w:val="en-US" w:eastAsia="zh-CN"/>
        </w:rPr>
        <w:t>；</w:t>
      </w:r>
    </w:p>
    <w:p w14:paraId="2437A75B">
      <w:pPr>
        <w:numPr>
          <w:ilvl w:val="0"/>
          <w:numId w:val="0"/>
        </w:num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（2）化学生产区域网络高清</w:t>
      </w:r>
      <w:r>
        <w:rPr>
          <w:rFonts w:hint="eastAsia" w:asciiTheme="minorEastAsia" w:hAnsiTheme="minorEastAsia" w:eastAsiaTheme="minorEastAsia" w:cstheme="minorEastAsia"/>
          <w:sz w:val="21"/>
          <w:szCs w:val="21"/>
          <w:highlight w:val="none"/>
          <w:lang w:val="en-US" w:eastAsia="zh"/>
        </w:rPr>
        <w:t>监控系统（包含</w:t>
      </w:r>
      <w:r>
        <w:rPr>
          <w:rFonts w:hint="eastAsia" w:asciiTheme="minorEastAsia" w:hAnsiTheme="minorEastAsia" w:eastAsiaTheme="minorEastAsia" w:cstheme="minorEastAsia"/>
          <w:sz w:val="21"/>
          <w:szCs w:val="21"/>
          <w:highlight w:val="none"/>
          <w:lang w:val="en-US" w:eastAsia="zh-CN"/>
        </w:rPr>
        <w:t>江边取水泵房</w:t>
      </w:r>
      <w:r>
        <w:rPr>
          <w:rFonts w:hint="eastAsia" w:asciiTheme="minorEastAsia" w:hAnsiTheme="minorEastAsia" w:eastAsiaTheme="minorEastAsia" w:cstheme="minorEastAsia"/>
          <w:sz w:val="21"/>
          <w:szCs w:val="21"/>
          <w:highlight w:val="none"/>
          <w:lang w:val="en-US" w:eastAsia="zh"/>
        </w:rPr>
        <w:t>区</w:t>
      </w:r>
      <w:r>
        <w:rPr>
          <w:rFonts w:hint="eastAsia" w:asciiTheme="minorEastAsia" w:hAnsiTheme="minorEastAsia" w:eastAsiaTheme="minorEastAsia" w:cstheme="minorEastAsia"/>
          <w:sz w:val="21"/>
          <w:szCs w:val="21"/>
          <w:highlight w:val="none"/>
          <w:lang w:val="en-US" w:eastAsia="zh-CN"/>
        </w:rPr>
        <w:t>域</w:t>
      </w:r>
      <w:r>
        <w:rPr>
          <w:rFonts w:hint="eastAsia" w:asciiTheme="minorEastAsia" w:hAnsiTheme="minorEastAsia" w:eastAsiaTheme="minorEastAsia" w:cstheme="minorEastAsia"/>
          <w:sz w:val="21"/>
          <w:szCs w:val="21"/>
          <w:highlight w:val="none"/>
          <w:lang w:val="en-US" w:eastAsia="zh"/>
        </w:rPr>
        <w:t>）1套</w:t>
      </w:r>
      <w:r>
        <w:rPr>
          <w:rFonts w:hint="eastAsia" w:asciiTheme="minorEastAsia" w:hAnsiTheme="minorEastAsia" w:eastAsiaTheme="minorEastAsia" w:cstheme="minorEastAsia"/>
          <w:sz w:val="21"/>
          <w:szCs w:val="21"/>
          <w:highlight w:val="none"/>
          <w:lang w:val="en-US" w:eastAsia="zh-CN"/>
        </w:rPr>
        <w:t>；</w:t>
      </w:r>
    </w:p>
    <w:p w14:paraId="5714488C">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（3）火车车皮监视高清网络</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lang w:val="en-US" w:eastAsia="zh-CN"/>
        </w:rPr>
        <w:t>；</w:t>
      </w:r>
    </w:p>
    <w:p w14:paraId="370C0489">
      <w:pPr>
        <w:numPr>
          <w:ilvl w:val="0"/>
          <w:numId w:val="0"/>
        </w:num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（4）周界监控系统网络高清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lang w:val="en-US" w:eastAsia="zh-CN"/>
        </w:rPr>
        <w:t>；</w:t>
      </w:r>
    </w:p>
    <w:p w14:paraId="0D8A6FE5">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（5）新增石膏等监控系统网络高清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lang w:val="en-US" w:eastAsia="zh-CN"/>
        </w:rPr>
        <w:t>；</w:t>
      </w:r>
    </w:p>
    <w:p w14:paraId="4BC7912C">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（6）环保监控系统网络高清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lang w:val="en-US" w:eastAsia="zh-CN"/>
        </w:rPr>
        <w:t>；</w:t>
      </w:r>
    </w:p>
    <w:p w14:paraId="048D5B6A">
      <w:pPr>
        <w:spacing w:line="360" w:lineRule="auto"/>
        <w:rPr>
          <w:rFonts w:hint="eastAsia" w:asciiTheme="minorEastAsia" w:hAnsiTheme="minorEastAsia" w:eastAsiaTheme="minorEastAsia" w:cstheme="minorEastAsia"/>
          <w:sz w:val="21"/>
          <w:szCs w:val="21"/>
          <w:highlight w:val="none"/>
          <w:vertAlign w:val="baseline"/>
          <w:lang w:val="en-US" w:eastAsia="zh-CN"/>
        </w:rPr>
      </w:pPr>
      <w:r>
        <w:rPr>
          <w:rFonts w:hint="eastAsia"/>
          <w:sz w:val="21"/>
          <w:szCs w:val="21"/>
          <w:highlight w:val="none"/>
          <w:lang w:val="en-US" w:eastAsia="zh-CN"/>
        </w:rPr>
        <w:t>（7）</w:t>
      </w:r>
      <w:r>
        <w:rPr>
          <w:rFonts w:hint="eastAsia" w:asciiTheme="minorEastAsia" w:hAnsiTheme="minorEastAsia" w:eastAsiaTheme="minorEastAsia" w:cstheme="minorEastAsia"/>
          <w:sz w:val="21"/>
          <w:szCs w:val="21"/>
          <w:highlight w:val="none"/>
          <w:vertAlign w:val="baseline"/>
          <w:lang w:val="en-US" w:eastAsia="zh-CN"/>
        </w:rPr>
        <w:t>生活区网络高清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vertAlign w:val="baseline"/>
          <w:lang w:val="en-US" w:eastAsia="zh-CN"/>
        </w:rPr>
        <w:t>；</w:t>
      </w:r>
    </w:p>
    <w:p w14:paraId="3A0F5EE1">
      <w:pPr>
        <w:pStyle w:val="2"/>
        <w:ind w:left="0" w:leftChars="0" w:firstLine="0" w:firstLineChars="0"/>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（8）翻车机网络高清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vertAlign w:val="baseline"/>
          <w:lang w:val="en-US" w:eastAsia="zh-CN"/>
        </w:rPr>
        <w:t>；</w:t>
      </w:r>
    </w:p>
    <w:p w14:paraId="425CC5FD">
      <w:pPr>
        <w:pStyle w:val="2"/>
        <w:ind w:left="0" w:leftChars="0" w:firstLine="0" w:firstLineChars="0"/>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（9）尿素区网络高清</w:t>
      </w:r>
      <w:r>
        <w:rPr>
          <w:rFonts w:hint="eastAsia" w:asciiTheme="minorEastAsia" w:hAnsiTheme="minorEastAsia" w:eastAsiaTheme="minorEastAsia" w:cstheme="minorEastAsia"/>
          <w:sz w:val="21"/>
          <w:szCs w:val="21"/>
          <w:highlight w:val="none"/>
          <w:lang w:val="en-US" w:eastAsia="zh"/>
        </w:rPr>
        <w:t>监控系统1套</w:t>
      </w:r>
      <w:r>
        <w:rPr>
          <w:rFonts w:hint="eastAsia" w:asciiTheme="minorEastAsia" w:hAnsiTheme="minorEastAsia" w:eastAsiaTheme="minorEastAsia" w:cstheme="minorEastAsia"/>
          <w:sz w:val="21"/>
          <w:szCs w:val="21"/>
          <w:highlight w:val="none"/>
          <w:vertAlign w:val="baseline"/>
          <w:lang w:val="en-US" w:eastAsia="zh-CN"/>
        </w:rPr>
        <w:t>；</w:t>
      </w:r>
    </w:p>
    <w:p w14:paraId="220354F3">
      <w:pPr>
        <w:pStyle w:val="2"/>
        <w:ind w:left="0" w:leftChars="0" w:firstLine="0" w:firstLineChars="0"/>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（10）火车采样监控系统1套。</w:t>
      </w:r>
    </w:p>
    <w:p w14:paraId="3C26FF75">
      <w:pPr>
        <w:spacing w:line="360" w:lineRule="auto"/>
        <w:outlineLvl w:val="2"/>
        <w:rPr>
          <w:rFonts w:hint="eastAsia" w:ascii="宋体" w:hAnsi="宋体" w:eastAsia="宋体" w:cs="宋体"/>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4.1.2</w:t>
      </w:r>
      <w:r>
        <w:rPr>
          <w:rFonts w:hint="eastAsia" w:ascii="宋体" w:hAnsi="宋体" w:eastAsia="宋体" w:cs="宋体"/>
          <w:b w:val="0"/>
          <w:bCs/>
          <w:color w:val="auto"/>
          <w:kern w:val="2"/>
          <w:sz w:val="21"/>
          <w:szCs w:val="21"/>
          <w:highlight w:val="none"/>
          <w:lang w:val="en-US" w:eastAsia="zh-CN" w:bidi="ar-SA"/>
        </w:rPr>
        <w:t>门禁系统包括：</w:t>
      </w:r>
    </w:p>
    <w:p w14:paraId="35307D7E">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 xml:space="preserve">  </w:t>
      </w:r>
      <w:r>
        <w:rPr>
          <w:rFonts w:hint="eastAsia" w:asciiTheme="minorEastAsia" w:hAnsiTheme="minorEastAsia" w:eastAsiaTheme="minorEastAsia" w:cstheme="minorEastAsia"/>
          <w:sz w:val="21"/>
          <w:szCs w:val="21"/>
          <w:highlight w:val="none"/>
          <w:lang w:val="en-US" w:eastAsia="zh-CN"/>
        </w:rPr>
        <w:t xml:space="preserve"> 门禁系统维护范围包含人脸识别设备、自动门及其配套设备、服务器、</w:t>
      </w:r>
      <w:r>
        <w:rPr>
          <w:rFonts w:hint="eastAsia" w:asciiTheme="minorEastAsia" w:hAnsiTheme="minorEastAsia" w:eastAsiaTheme="minorEastAsia" w:cstheme="minorEastAsia"/>
          <w:sz w:val="21"/>
          <w:szCs w:val="21"/>
          <w:highlight w:val="none"/>
          <w:lang w:val="en-US" w:eastAsia="zh"/>
        </w:rPr>
        <w:t>电源、</w:t>
      </w:r>
      <w:r>
        <w:rPr>
          <w:rFonts w:hint="eastAsia" w:asciiTheme="minorEastAsia" w:hAnsiTheme="minorEastAsia" w:eastAsiaTheme="minorEastAsia" w:cstheme="minorEastAsia"/>
          <w:sz w:val="21"/>
          <w:szCs w:val="21"/>
          <w:highlight w:val="none"/>
          <w:lang w:val="en-US" w:eastAsia="zh-CN"/>
        </w:rPr>
        <w:t>电缆</w:t>
      </w:r>
      <w:r>
        <w:rPr>
          <w:rFonts w:hint="eastAsia" w:asciiTheme="minorEastAsia" w:hAnsiTheme="minorEastAsia" w:eastAsiaTheme="minorEastAsia" w:cstheme="minorEastAsia"/>
          <w:sz w:val="21"/>
          <w:szCs w:val="21"/>
          <w:highlight w:val="none"/>
          <w:lang w:val="en-US" w:eastAsia="zh"/>
        </w:rPr>
        <w:t>等附件</w:t>
      </w:r>
      <w:r>
        <w:rPr>
          <w:rFonts w:hint="eastAsia" w:asciiTheme="minorEastAsia" w:hAnsiTheme="minorEastAsia" w:eastAsiaTheme="minorEastAsia" w:cstheme="minorEastAsia"/>
          <w:sz w:val="21"/>
          <w:szCs w:val="21"/>
          <w:highlight w:val="none"/>
          <w:lang w:val="en-US" w:eastAsia="zh-CN"/>
        </w:rPr>
        <w:t>，维护范围内门禁系统包含以下部分：</w:t>
      </w:r>
    </w:p>
    <w:p w14:paraId="5C2AB058">
      <w:pPr>
        <w:numPr>
          <w:ilvl w:val="0"/>
          <w:numId w:val="0"/>
        </w:numPr>
        <w:spacing w:line="360" w:lineRule="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（1）生活区门禁系统1套；</w:t>
      </w:r>
    </w:p>
    <w:p w14:paraId="0100E374">
      <w:pPr>
        <w:numPr>
          <w:ilvl w:val="0"/>
          <w:numId w:val="0"/>
        </w:num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（2）厂区#1门门禁系统2套；</w:t>
      </w:r>
    </w:p>
    <w:p w14:paraId="41EB2850">
      <w:pPr>
        <w:numPr>
          <w:ilvl w:val="0"/>
          <w:numId w:val="0"/>
        </w:numPr>
        <w:spacing w:line="360" w:lineRule="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（3）厂区#2门门禁系统1套。</w:t>
      </w:r>
    </w:p>
    <w:p w14:paraId="60CED07A">
      <w:pPr>
        <w:spacing w:line="360" w:lineRule="auto"/>
        <w:outlineLvl w:val="2"/>
        <w:rPr>
          <w:rFonts w:hint="eastAsia" w:ascii="宋体" w:hAnsi="宋体" w:eastAsia="宋体" w:cs="宋体"/>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4.1.3</w:t>
      </w:r>
      <w:r>
        <w:rPr>
          <w:rFonts w:hint="eastAsia" w:ascii="宋体" w:hAnsi="宋体" w:eastAsia="宋体" w:cs="宋体"/>
          <w:b w:val="0"/>
          <w:bCs/>
          <w:color w:val="auto"/>
          <w:kern w:val="2"/>
          <w:sz w:val="21"/>
          <w:szCs w:val="21"/>
          <w:highlight w:val="none"/>
          <w:lang w:val="en-US" w:eastAsia="zh-CN" w:bidi="ar-SA"/>
        </w:rPr>
        <w:t>道闸系统包括：</w:t>
      </w:r>
    </w:p>
    <w:p w14:paraId="5739E4DB">
      <w:pPr>
        <w:pStyle w:val="7"/>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道闸系统维护范围包含车辆识别系统、栏杆及其配套设备、服务器、</w:t>
      </w:r>
      <w:r>
        <w:rPr>
          <w:rFonts w:hint="eastAsia" w:hAnsi="宋体" w:cs="宋体"/>
          <w:b w:val="0"/>
          <w:bCs/>
          <w:color w:val="auto"/>
          <w:kern w:val="2"/>
          <w:sz w:val="21"/>
          <w:szCs w:val="21"/>
          <w:highlight w:val="none"/>
          <w:lang w:val="en-US" w:eastAsia="zh" w:bidi="ar-SA"/>
        </w:rPr>
        <w:t>电源、</w:t>
      </w:r>
      <w:r>
        <w:rPr>
          <w:rFonts w:hint="eastAsia" w:ascii="宋体" w:hAnsi="宋体" w:eastAsia="宋体" w:cs="宋体"/>
          <w:b w:val="0"/>
          <w:bCs/>
          <w:color w:val="auto"/>
          <w:kern w:val="2"/>
          <w:sz w:val="21"/>
          <w:szCs w:val="21"/>
          <w:highlight w:val="none"/>
          <w:lang w:val="en-US" w:eastAsia="zh-CN" w:bidi="ar-SA"/>
        </w:rPr>
        <w:t>电缆</w:t>
      </w:r>
      <w:r>
        <w:rPr>
          <w:rFonts w:hint="eastAsia" w:hAnsi="宋体" w:cs="宋体"/>
          <w:b w:val="0"/>
          <w:bCs/>
          <w:color w:val="auto"/>
          <w:kern w:val="2"/>
          <w:sz w:val="21"/>
          <w:szCs w:val="21"/>
          <w:highlight w:val="none"/>
          <w:lang w:val="en-US" w:eastAsia="zh" w:bidi="ar-SA"/>
        </w:rPr>
        <w:t>等附件</w:t>
      </w:r>
      <w:r>
        <w:rPr>
          <w:rFonts w:hint="eastAsia" w:ascii="宋体" w:hAnsi="宋体" w:eastAsia="宋体" w:cs="宋体"/>
          <w:b w:val="0"/>
          <w:bCs/>
          <w:color w:val="auto"/>
          <w:kern w:val="2"/>
          <w:sz w:val="21"/>
          <w:szCs w:val="21"/>
          <w:highlight w:val="none"/>
          <w:lang w:val="en-US" w:eastAsia="zh-CN" w:bidi="ar-SA"/>
        </w:rPr>
        <w:t>，维护范围内道闸系统包含以下部分：</w:t>
      </w:r>
    </w:p>
    <w:p w14:paraId="2DF61860">
      <w:pPr>
        <w:numPr>
          <w:ilvl w:val="0"/>
          <w:numId w:val="2"/>
        </w:numPr>
        <w:spacing w:line="360" w:lineRule="auto"/>
        <w:rPr>
          <w:rFonts w:hint="eastAsia"/>
          <w:sz w:val="21"/>
          <w:szCs w:val="21"/>
          <w:highlight w:val="none"/>
          <w:lang w:val="en-US" w:eastAsia="zh-CN"/>
        </w:rPr>
      </w:pPr>
      <w:r>
        <w:rPr>
          <w:rFonts w:hint="eastAsia"/>
          <w:sz w:val="21"/>
          <w:szCs w:val="21"/>
          <w:highlight w:val="none"/>
          <w:lang w:val="en-US" w:eastAsia="zh-CN"/>
        </w:rPr>
        <w:t>生活区车辆道闸系统1套；</w:t>
      </w:r>
    </w:p>
    <w:p w14:paraId="22E188A6">
      <w:pPr>
        <w:numPr>
          <w:ilvl w:val="0"/>
          <w:numId w:val="2"/>
        </w:numPr>
        <w:spacing w:line="360" w:lineRule="auto"/>
        <w:rPr>
          <w:rFonts w:hint="default"/>
          <w:sz w:val="21"/>
          <w:szCs w:val="21"/>
          <w:highlight w:val="none"/>
          <w:lang w:val="en-US" w:eastAsia="zh-CN"/>
        </w:rPr>
      </w:pPr>
      <w:r>
        <w:rPr>
          <w:rFonts w:hint="eastAsia"/>
          <w:sz w:val="21"/>
          <w:szCs w:val="21"/>
          <w:highlight w:val="none"/>
          <w:lang w:val="en-US" w:eastAsia="zh-CN"/>
        </w:rPr>
        <w:t>厂区#1门车辆道闸系统1套；</w:t>
      </w:r>
    </w:p>
    <w:p w14:paraId="4435EB5A">
      <w:pPr>
        <w:numPr>
          <w:ilvl w:val="0"/>
          <w:numId w:val="2"/>
        </w:numPr>
        <w:spacing w:line="360" w:lineRule="auto"/>
        <w:rPr>
          <w:rFonts w:hint="eastAsia"/>
          <w:sz w:val="21"/>
          <w:szCs w:val="21"/>
          <w:highlight w:val="none"/>
          <w:lang w:val="en-US" w:eastAsia="zh-CN"/>
        </w:rPr>
      </w:pPr>
      <w:r>
        <w:rPr>
          <w:rFonts w:hint="eastAsia"/>
          <w:sz w:val="21"/>
          <w:szCs w:val="21"/>
          <w:highlight w:val="none"/>
          <w:lang w:val="en-US" w:eastAsia="zh-CN"/>
        </w:rPr>
        <w:t>厂区#2门车辆道闸系统2套；</w:t>
      </w:r>
    </w:p>
    <w:p w14:paraId="7C933B60">
      <w:pPr>
        <w:numPr>
          <w:ilvl w:val="0"/>
          <w:numId w:val="2"/>
        </w:numPr>
        <w:spacing w:line="360" w:lineRule="auto"/>
        <w:rPr>
          <w:rFonts w:hint="default"/>
          <w:sz w:val="21"/>
          <w:szCs w:val="21"/>
          <w:highlight w:val="none"/>
          <w:lang w:val="en-US" w:eastAsia="zh-CN"/>
        </w:rPr>
      </w:pPr>
      <w:r>
        <w:rPr>
          <w:rFonts w:hint="eastAsia"/>
          <w:sz w:val="21"/>
          <w:szCs w:val="21"/>
          <w:highlight w:val="none"/>
          <w:lang w:val="en-US" w:eastAsia="zh-CN"/>
        </w:rPr>
        <w:t>#2门洗轮机车辆道闸系统1套；</w:t>
      </w:r>
    </w:p>
    <w:p w14:paraId="72BA4D31">
      <w:pPr>
        <w:numPr>
          <w:ilvl w:val="0"/>
          <w:numId w:val="2"/>
        </w:numPr>
        <w:spacing w:line="360" w:lineRule="auto"/>
        <w:rPr>
          <w:rFonts w:hint="eastAsia"/>
          <w:sz w:val="21"/>
          <w:szCs w:val="21"/>
          <w:highlight w:val="none"/>
          <w:lang w:val="en-US" w:eastAsia="zh-CN"/>
        </w:rPr>
      </w:pPr>
      <w:r>
        <w:rPr>
          <w:rFonts w:hint="eastAsia"/>
          <w:sz w:val="21"/>
          <w:szCs w:val="21"/>
          <w:highlight w:val="none"/>
          <w:lang w:val="en-US" w:eastAsia="zh-CN"/>
        </w:rPr>
        <w:t>石灰石料仓洗轮机车辆道闸系统1套；</w:t>
      </w:r>
    </w:p>
    <w:p w14:paraId="3B29A4E5">
      <w:pPr>
        <w:numPr>
          <w:ilvl w:val="0"/>
          <w:numId w:val="2"/>
        </w:numPr>
        <w:spacing w:line="360" w:lineRule="auto"/>
        <w:rPr>
          <w:rFonts w:hint="default"/>
          <w:sz w:val="21"/>
          <w:szCs w:val="21"/>
          <w:highlight w:val="none"/>
          <w:lang w:val="en-US" w:eastAsia="zh-CN"/>
        </w:rPr>
      </w:pPr>
      <w:r>
        <w:rPr>
          <w:rFonts w:hint="eastAsia"/>
          <w:sz w:val="21"/>
          <w:szCs w:val="21"/>
          <w:highlight w:val="none"/>
          <w:lang w:val="en-US" w:eastAsia="zh-CN"/>
        </w:rPr>
        <w:t>北煤场洗轮机车辆道闸系统1套。</w:t>
      </w:r>
    </w:p>
    <w:p w14:paraId="2D8D1BC7">
      <w:pPr>
        <w:spacing w:line="360" w:lineRule="auto"/>
        <w:outlineLvl w:val="2"/>
        <w:rPr>
          <w:rFonts w:hint="eastAsia" w:ascii="宋体" w:hAnsi="宋体" w:eastAsia="宋体" w:cs="宋体"/>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4.1.4</w:t>
      </w:r>
      <w:r>
        <w:rPr>
          <w:rFonts w:hint="eastAsia" w:ascii="宋体" w:hAnsi="宋体" w:eastAsia="宋体" w:cs="宋体"/>
          <w:b w:val="0"/>
          <w:bCs/>
          <w:color w:val="auto"/>
          <w:kern w:val="2"/>
          <w:sz w:val="21"/>
          <w:szCs w:val="21"/>
          <w:highlight w:val="none"/>
          <w:lang w:val="en-US" w:eastAsia="zh-CN" w:bidi="ar-SA"/>
        </w:rPr>
        <w:t>电子围栏系统包括：</w:t>
      </w:r>
    </w:p>
    <w:p w14:paraId="3044D605">
      <w:pPr>
        <w:pStyle w:val="7"/>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围栏系统维护范围包含氢站、燃油库房围墙电子围栏支架、不锈钢丝及其安装配件，报警器主机，声光报警设备，就地控制箱及内部设备，通讯及供电电缆，#1门门岗内服务器、交换机，维护范围内电子围栏系统包含以下部分：</w:t>
      </w:r>
    </w:p>
    <w:p w14:paraId="1F523E08">
      <w:pPr>
        <w:numPr>
          <w:ilvl w:val="0"/>
          <w:numId w:val="3"/>
        </w:numPr>
        <w:spacing w:line="360" w:lineRule="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氢站电子围栏系统</w:t>
      </w:r>
      <w:r>
        <w:rPr>
          <w:rFonts w:hint="eastAsia" w:ascii="宋体" w:hAnsi="宋体" w:cs="宋体"/>
          <w:b w:val="0"/>
          <w:bCs/>
          <w:color w:val="auto"/>
          <w:kern w:val="2"/>
          <w:sz w:val="21"/>
          <w:szCs w:val="21"/>
          <w:highlight w:val="none"/>
          <w:lang w:val="en-US" w:eastAsia="zh" w:bidi="ar-SA"/>
        </w:rPr>
        <w:t>1套；</w:t>
      </w:r>
    </w:p>
    <w:p w14:paraId="2D488BB3">
      <w:pPr>
        <w:pStyle w:val="2"/>
        <w:ind w:left="0" w:leftChars="0" w:firstLine="0" w:firstLineChars="0"/>
        <w:rPr>
          <w:rFonts w:hint="eastAsia" w:eastAsia="宋体"/>
          <w:b w:val="0"/>
          <w:bCs w:val="0"/>
          <w:sz w:val="21"/>
          <w:szCs w:val="21"/>
          <w:highlight w:val="none"/>
          <w:lang w:val="en-US" w:eastAsia="zh"/>
        </w:rPr>
      </w:pPr>
      <w:r>
        <w:rPr>
          <w:rFonts w:hint="eastAsia"/>
          <w:b w:val="0"/>
          <w:bCs w:val="0"/>
          <w:sz w:val="21"/>
          <w:szCs w:val="21"/>
          <w:highlight w:val="none"/>
          <w:lang w:val="en-US" w:eastAsia="zh"/>
        </w:rPr>
        <w:t>（2）</w:t>
      </w:r>
      <w:r>
        <w:rPr>
          <w:rFonts w:hint="eastAsia" w:ascii="宋体" w:hAnsi="宋体" w:eastAsia="宋体" w:cs="宋体"/>
          <w:b w:val="0"/>
          <w:bCs/>
          <w:color w:val="auto"/>
          <w:kern w:val="2"/>
          <w:sz w:val="21"/>
          <w:szCs w:val="21"/>
          <w:highlight w:val="none"/>
          <w:lang w:val="en-US" w:eastAsia="zh-CN" w:bidi="ar-SA"/>
        </w:rPr>
        <w:t>燃油库房</w:t>
      </w:r>
      <w:r>
        <w:rPr>
          <w:rFonts w:hint="eastAsia" w:ascii="宋体" w:hAnsi="宋体" w:eastAsia="宋体" w:cs="宋体"/>
          <w:b w:val="0"/>
          <w:bCs/>
          <w:color w:val="auto"/>
          <w:kern w:val="2"/>
          <w:sz w:val="21"/>
          <w:szCs w:val="21"/>
          <w:highlight w:val="none"/>
          <w:lang w:val="en-US" w:eastAsia="zh" w:bidi="ar-SA"/>
        </w:rPr>
        <w:t>电子围栏系统1套。</w:t>
      </w:r>
    </w:p>
    <w:p w14:paraId="5C8006A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CN"/>
        </w:rPr>
      </w:pPr>
      <w:r>
        <w:rPr>
          <w:rFonts w:hint="eastAsia" w:eastAsia="宋体" w:cs="Times New Roman"/>
          <w:highlight w:val="none"/>
          <w:lang w:val="en-US" w:eastAsia="zh-CN"/>
        </w:rPr>
        <w:t>4.2 工作内容</w:t>
      </w:r>
    </w:p>
    <w:p w14:paraId="142B4D82">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b w:val="0"/>
          <w:bCs/>
          <w:kern w:val="2"/>
          <w:sz w:val="21"/>
          <w:szCs w:val="21"/>
          <w:highlight w:val="none"/>
        </w:rPr>
      </w:pPr>
      <w:r>
        <w:rPr>
          <w:rFonts w:hint="default" w:ascii="Calibri" w:hAnsi="Calibri" w:eastAsia="宋体" w:cs="Calibri"/>
          <w:b w:val="0"/>
          <w:bCs/>
          <w:kern w:val="2"/>
          <w:sz w:val="21"/>
          <w:szCs w:val="21"/>
          <w:highlight w:val="none"/>
          <w:lang w:val="en-US" w:eastAsia="zh-CN" w:bidi="ar"/>
        </w:rPr>
        <w:t xml:space="preserve">4.2.1 </w:t>
      </w:r>
      <w:r>
        <w:rPr>
          <w:rFonts w:hint="eastAsia" w:ascii="宋体" w:hAnsi="宋体" w:eastAsia="宋体" w:cs="宋体"/>
          <w:b w:val="0"/>
          <w:bCs/>
          <w:kern w:val="2"/>
          <w:sz w:val="21"/>
          <w:szCs w:val="21"/>
          <w:highlight w:val="none"/>
          <w:lang w:val="en-US" w:eastAsia="zh-CN" w:bidi="ar"/>
        </w:rPr>
        <w:t>每天对所管辖的需记录时间的设备进行对时，对监控系统的前端设备、传输设备、存储设备和监控中心设备进行巡检，检查设备的运行状态、外观是否正常，有无故障报警信息等。重点检查摄像头的图像质量、红外夜视功能、云台转动是否灵活；门禁系统、道闸系统、电子围栏系统是否正常工作；传输线路是否有松动、破损等情况。检查结果报设备维修部和生产技术部签字确认。</w:t>
      </w:r>
    </w:p>
    <w:p w14:paraId="5A3C07C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0"/>
          <w:sz w:val="21"/>
          <w:szCs w:val="21"/>
          <w:highlight w:val="none"/>
        </w:rPr>
      </w:pPr>
      <w:r>
        <w:rPr>
          <w:rFonts w:hint="default" w:ascii="Calibri" w:hAnsi="Calibri" w:eastAsia="宋体" w:cs="Calibri"/>
          <w:b w:val="0"/>
          <w:bCs/>
          <w:kern w:val="2"/>
          <w:sz w:val="21"/>
          <w:szCs w:val="21"/>
          <w:highlight w:val="none"/>
          <w:lang w:val="en-US" w:eastAsia="zh-CN" w:bidi="ar"/>
        </w:rPr>
        <w:t>4.2.2</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每天及时在川南发电有限责任公司的EMA系统上</w:t>
      </w:r>
      <w:r>
        <w:rPr>
          <w:rFonts w:hint="eastAsia" w:ascii="宋体" w:hAnsi="宋体" w:eastAsia="宋体" w:cs="宋体"/>
          <w:kern w:val="0"/>
          <w:sz w:val="21"/>
          <w:szCs w:val="21"/>
          <w:highlight w:val="none"/>
          <w:lang w:val="en-US" w:eastAsia="zh" w:bidi="ar"/>
        </w:rPr>
        <w:t>查看</w:t>
      </w:r>
      <w:r>
        <w:rPr>
          <w:rFonts w:hint="eastAsia" w:ascii="宋体" w:hAnsi="宋体" w:eastAsia="宋体" w:cs="宋体"/>
          <w:kern w:val="0"/>
          <w:sz w:val="21"/>
          <w:szCs w:val="21"/>
          <w:highlight w:val="none"/>
          <w:lang w:val="en-US" w:eastAsia="zh-CN" w:bidi="ar"/>
        </w:rPr>
        <w:t>缺陷，并依据缺陷类型按照公司规定消缺时间内完成缺陷的处理工作；接到值长或相关管理人员的缺陷通知应及时响应，以保证所管辖系统的所有设备正常工作。</w:t>
      </w:r>
    </w:p>
    <w:p w14:paraId="73D647D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1"/>
          <w:szCs w:val="21"/>
          <w:highlight w:val="none"/>
        </w:rPr>
      </w:pPr>
      <w:r>
        <w:rPr>
          <w:rFonts w:hint="default" w:ascii="Calibri" w:hAnsi="Calibri" w:eastAsia="宋体" w:cs="Calibri"/>
          <w:b w:val="0"/>
          <w:bCs/>
          <w:kern w:val="2"/>
          <w:sz w:val="21"/>
          <w:szCs w:val="21"/>
          <w:highlight w:val="none"/>
          <w:lang w:val="en-US" w:eastAsia="zh-CN" w:bidi="ar"/>
        </w:rPr>
        <w:t>4.2.3</w:t>
      </w:r>
      <w:r>
        <w:rPr>
          <w:rFonts w:hint="eastAsia" w:ascii="宋体" w:hAnsi="宋体" w:eastAsia="宋体" w:cs="Times New Roman"/>
          <w:kern w:val="0"/>
          <w:sz w:val="21"/>
          <w:szCs w:val="21"/>
          <w:highlight w:val="none"/>
          <w:lang w:val="en-US" w:eastAsia="zh-CN" w:bidi="ar"/>
        </w:rPr>
        <w:t xml:space="preserve"> </w:t>
      </w:r>
      <w:r>
        <w:rPr>
          <w:rFonts w:hint="default" w:ascii="var(--s-font-base)" w:hAnsi="var(--s-font-base)" w:eastAsia="var(--s-font-base)" w:cs="var(--s-font-base)"/>
          <w:kern w:val="2"/>
          <w:sz w:val="21"/>
          <w:szCs w:val="21"/>
          <w:highlight w:val="none"/>
          <w:lang w:val="en-US" w:eastAsia="zh-CN" w:bidi="ar"/>
        </w:rPr>
        <w:t>每周对</w:t>
      </w:r>
      <w:r>
        <w:rPr>
          <w:rFonts w:hint="eastAsia" w:ascii="宋体" w:hAnsi="宋体" w:eastAsia="宋体" w:cs="宋体"/>
          <w:kern w:val="2"/>
          <w:sz w:val="21"/>
          <w:szCs w:val="21"/>
          <w:highlight w:val="none"/>
          <w:lang w:val="en-US" w:eastAsia="zh-CN" w:bidi="ar"/>
        </w:rPr>
        <w:t>监控图像的清晰度、完好率进行检查并做好记录，诊断并排除系统存在的缺陷。</w:t>
      </w:r>
    </w:p>
    <w:p w14:paraId="3A51EBA1">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Calibri"/>
          <w:b w:val="0"/>
          <w:bCs/>
          <w:kern w:val="2"/>
          <w:sz w:val="21"/>
          <w:szCs w:val="21"/>
          <w:highlight w:val="none"/>
          <w:lang w:val="en-US" w:eastAsia="zh-CN" w:bidi="ar"/>
        </w:rPr>
      </w:pPr>
      <w:r>
        <w:rPr>
          <w:rFonts w:hint="default" w:ascii="Calibri" w:hAnsi="Calibri" w:eastAsia="宋体" w:cs="Calibri"/>
          <w:b w:val="0"/>
          <w:bCs/>
          <w:kern w:val="2"/>
          <w:sz w:val="21"/>
          <w:szCs w:val="21"/>
          <w:highlight w:val="none"/>
          <w:lang w:val="en-US" w:eastAsia="zh-CN" w:bidi="ar"/>
        </w:rPr>
        <w:t>4.2.4</w:t>
      </w:r>
      <w:r>
        <w:rPr>
          <w:rFonts w:hint="eastAsia" w:ascii="宋体" w:hAnsi="宋体" w:eastAsia="宋体" w:cs="宋体"/>
          <w:b w:val="0"/>
          <w:bCs/>
          <w:kern w:val="2"/>
          <w:sz w:val="21"/>
          <w:szCs w:val="21"/>
          <w:highlight w:val="none"/>
          <w:lang w:val="en-US" w:eastAsia="zh-CN" w:bidi="ar"/>
        </w:rPr>
        <w:t>每</w:t>
      </w:r>
      <w:r>
        <w:rPr>
          <w:rFonts w:hint="eastAsia" w:ascii="宋体" w:hAnsi="宋体" w:eastAsia="宋体" w:cs="宋体"/>
          <w:b w:val="0"/>
          <w:bCs/>
          <w:kern w:val="2"/>
          <w:sz w:val="21"/>
          <w:szCs w:val="21"/>
          <w:highlight w:val="none"/>
          <w:lang w:val="en-US" w:eastAsia="zh" w:bidi="ar"/>
        </w:rPr>
        <w:t>周</w:t>
      </w:r>
      <w:r>
        <w:rPr>
          <w:rFonts w:hint="eastAsia" w:ascii="宋体" w:hAnsi="宋体" w:eastAsia="宋体" w:cs="宋体"/>
          <w:kern w:val="2"/>
          <w:sz w:val="21"/>
          <w:szCs w:val="21"/>
          <w:highlight w:val="none"/>
          <w:lang w:val="en-US" w:eastAsia="zh-CN" w:bidi="ar"/>
        </w:rPr>
        <w:t>检查电子围栏报警设施的完好性以及例行试验。查看其自检、消音、复位、故</w:t>
      </w:r>
      <w:r>
        <w:rPr>
          <w:rFonts w:hint="eastAsia" w:ascii="Calibri" w:hAnsi="Calibri" w:eastAsia="宋体" w:cs="Calibri"/>
          <w:b w:val="0"/>
          <w:bCs/>
          <w:kern w:val="2"/>
          <w:sz w:val="21"/>
          <w:szCs w:val="21"/>
          <w:highlight w:val="none"/>
          <w:lang w:val="en-US" w:eastAsia="zh-CN" w:bidi="ar"/>
        </w:rPr>
        <w:t>障报警显示、巡检等功能是否正常，如有故障应及时消缺，保证报警系统能正常工作。</w:t>
      </w:r>
    </w:p>
    <w:p w14:paraId="21F55209">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Calibri"/>
          <w:b w:val="0"/>
          <w:bCs/>
          <w:kern w:val="2"/>
          <w:sz w:val="21"/>
          <w:szCs w:val="21"/>
          <w:highlight w:val="none"/>
          <w:lang w:val="en-US" w:eastAsia="zh-CN" w:bidi="ar"/>
        </w:rPr>
      </w:pPr>
      <w:r>
        <w:rPr>
          <w:rFonts w:hint="default" w:ascii="Calibri" w:hAnsi="Calibri" w:eastAsia="宋体" w:cs="Calibri"/>
          <w:b w:val="0"/>
          <w:bCs/>
          <w:kern w:val="2"/>
          <w:sz w:val="21"/>
          <w:szCs w:val="21"/>
          <w:highlight w:val="none"/>
          <w:lang w:val="en-US" w:eastAsia="zh-CN" w:bidi="ar"/>
        </w:rPr>
        <w:t>4.2.5</w:t>
      </w:r>
      <w:r>
        <w:rPr>
          <w:rFonts w:hint="eastAsia" w:ascii="Calibri" w:hAnsi="Calibri" w:eastAsia="宋体" w:cs="Calibri"/>
          <w:b w:val="0"/>
          <w:bCs/>
          <w:kern w:val="2"/>
          <w:sz w:val="21"/>
          <w:szCs w:val="21"/>
          <w:highlight w:val="none"/>
          <w:lang w:val="en-US" w:eastAsia="zh-CN" w:bidi="ar"/>
        </w:rPr>
        <w:t>每月对</w:t>
      </w:r>
      <w:r>
        <w:rPr>
          <w:rFonts w:hint="default" w:ascii="Calibri" w:hAnsi="Calibri" w:eastAsia="宋体" w:cs="Calibri"/>
          <w:b w:val="0"/>
          <w:bCs/>
          <w:kern w:val="2"/>
          <w:sz w:val="21"/>
          <w:szCs w:val="21"/>
          <w:highlight w:val="none"/>
          <w:lang w:val="en-US" w:eastAsia="zh-CN" w:bidi="ar"/>
        </w:rPr>
        <w:t>设备进行一次全面的清洁保养，包括摄像头镜头、外壳，</w:t>
      </w:r>
      <w:r>
        <w:rPr>
          <w:rFonts w:hint="eastAsia" w:ascii="Calibri" w:hAnsi="Calibri" w:eastAsia="宋体" w:cs="Calibri"/>
          <w:b w:val="0"/>
          <w:bCs/>
          <w:kern w:val="2"/>
          <w:sz w:val="21"/>
          <w:szCs w:val="21"/>
          <w:highlight w:val="none"/>
          <w:lang w:val="en-US" w:eastAsia="zh" w:bidi="ar"/>
        </w:rPr>
        <w:t>机柜，就地接线箱，</w:t>
      </w:r>
      <w:r>
        <w:rPr>
          <w:rFonts w:hint="default" w:ascii="Calibri" w:hAnsi="Calibri" w:eastAsia="宋体" w:cs="Calibri"/>
          <w:b w:val="0"/>
          <w:bCs/>
          <w:kern w:val="2"/>
          <w:sz w:val="21"/>
          <w:szCs w:val="21"/>
          <w:highlight w:val="none"/>
          <w:lang w:val="en-US" w:eastAsia="zh-CN" w:bidi="ar"/>
        </w:rPr>
        <w:t>监控中心设备的显示屏、键盘等。</w:t>
      </w:r>
      <w:r>
        <w:rPr>
          <w:rFonts w:hint="eastAsia" w:ascii="宋体" w:hAnsi="宋体" w:eastAsia="宋体" w:cs="宋体"/>
          <w:b w:val="0"/>
          <w:bCs/>
          <w:kern w:val="2"/>
          <w:sz w:val="21"/>
          <w:szCs w:val="21"/>
          <w:highlight w:val="none"/>
          <w:lang w:val="en-US" w:eastAsia="zh-CN" w:bidi="ar"/>
        </w:rPr>
        <w:t>检查设备的防雷接地装置是否正常，测试接地电阻是否符合要求。</w:t>
      </w:r>
    </w:p>
    <w:p w14:paraId="6304A5EA">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Calibri"/>
          <w:b w:val="0"/>
          <w:bCs/>
          <w:kern w:val="2"/>
          <w:sz w:val="21"/>
          <w:szCs w:val="21"/>
          <w:highlight w:val="none"/>
          <w:lang w:val="en-US" w:eastAsia="zh-CN" w:bidi="ar"/>
        </w:rPr>
      </w:pPr>
      <w:r>
        <w:rPr>
          <w:rFonts w:hint="default" w:ascii="Calibri" w:hAnsi="Calibri" w:eastAsia="宋体" w:cs="Calibri"/>
          <w:b w:val="0"/>
          <w:bCs/>
          <w:kern w:val="2"/>
          <w:sz w:val="21"/>
          <w:szCs w:val="21"/>
          <w:highlight w:val="none"/>
          <w:lang w:val="en-US" w:eastAsia="zh-CN" w:bidi="ar"/>
        </w:rPr>
        <w:t>4.2.6</w:t>
      </w:r>
      <w:r>
        <w:rPr>
          <w:rFonts w:hint="eastAsia" w:ascii="Calibri" w:hAnsi="Calibri" w:eastAsia="宋体" w:cs="Calibri"/>
          <w:b w:val="0"/>
          <w:bCs/>
          <w:kern w:val="2"/>
          <w:sz w:val="21"/>
          <w:szCs w:val="21"/>
          <w:highlight w:val="none"/>
          <w:lang w:val="en-US" w:eastAsia="zh-CN" w:bidi="ar"/>
        </w:rPr>
        <w:t>每</w:t>
      </w:r>
      <w:r>
        <w:rPr>
          <w:rFonts w:hint="eastAsia" w:eastAsia="宋体" w:cs="Calibri"/>
          <w:b w:val="0"/>
          <w:bCs/>
          <w:kern w:val="2"/>
          <w:sz w:val="21"/>
          <w:szCs w:val="21"/>
          <w:highlight w:val="none"/>
          <w:lang w:val="en-US" w:eastAsia="zh" w:bidi="ar"/>
        </w:rPr>
        <w:t>月</w:t>
      </w:r>
      <w:r>
        <w:rPr>
          <w:rFonts w:hint="eastAsia" w:ascii="Calibri" w:hAnsi="Calibri" w:eastAsia="宋体" w:cs="Calibri"/>
          <w:b w:val="0"/>
          <w:bCs/>
          <w:kern w:val="2"/>
          <w:sz w:val="21"/>
          <w:szCs w:val="21"/>
          <w:highlight w:val="none"/>
          <w:lang w:val="en-US" w:eastAsia="zh-CN" w:bidi="ar"/>
        </w:rPr>
        <w:t>对系统设备进行一次硬件检查，包括电源模块、风扇、硬盘等部件，确保设备散热良好，运行稳定。对传输线路进行全面检查，查看线路的敷设情况，有无老化、破损、接地系统是否良好等现象，及时更换有问题的线路。</w:t>
      </w:r>
    </w:p>
    <w:p w14:paraId="18F116C4">
      <w:pPr>
        <w:keepNext w:val="0"/>
        <w:keepLines w:val="0"/>
        <w:widowControl w:val="0"/>
        <w:suppressLineNumbers w:val="0"/>
        <w:spacing w:before="0" w:beforeAutospacing="0" w:after="0" w:afterAutospacing="0" w:line="360" w:lineRule="auto"/>
        <w:ind w:left="0" w:right="0"/>
        <w:jc w:val="both"/>
        <w:rPr>
          <w:rFonts w:hint="default" w:ascii="宋体" w:hAnsi="宋体" w:eastAsia="宋体" w:cs="Times New Roman"/>
          <w:snapToGrid w:val="0"/>
          <w:color w:val="auto"/>
          <w:kern w:val="0"/>
          <w:sz w:val="21"/>
          <w:szCs w:val="21"/>
          <w:highlight w:val="none"/>
          <w:lang w:val="en-US" w:eastAsia="zh-CN"/>
        </w:rPr>
      </w:pPr>
      <w:r>
        <w:rPr>
          <w:rFonts w:hint="eastAsia"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CN" w:bidi="ar-SA"/>
        </w:rPr>
        <w:t>2.</w:t>
      </w:r>
      <w:r>
        <w:rPr>
          <w:rFonts w:hint="eastAsia" w:cs="宋体" w:asciiTheme="minorAscii" w:hAnsiTheme="minorAscii"/>
          <w:b w:val="0"/>
          <w:bCs/>
          <w:color w:val="auto"/>
          <w:kern w:val="2"/>
          <w:sz w:val="21"/>
          <w:szCs w:val="21"/>
          <w:highlight w:val="none"/>
          <w:lang w:val="en-US" w:eastAsia="zh" w:bidi="ar-SA"/>
        </w:rPr>
        <w:t>7</w:t>
      </w:r>
      <w:r>
        <w:rPr>
          <w:rFonts w:hint="eastAsia" w:ascii="宋体" w:hAnsi="宋体" w:eastAsia="宋体" w:cs="Times New Roman"/>
          <w:snapToGrid w:val="0"/>
          <w:color w:val="auto"/>
          <w:kern w:val="0"/>
          <w:sz w:val="21"/>
          <w:szCs w:val="21"/>
          <w:highlight w:val="none"/>
          <w:lang w:val="en-US" w:eastAsia="zh-CN"/>
        </w:rPr>
        <w:t xml:space="preserve"> </w:t>
      </w:r>
      <w:r>
        <w:rPr>
          <w:rFonts w:hint="eastAsia" w:ascii="宋体" w:hAnsi="宋体" w:eastAsia="宋体" w:cs="宋体"/>
          <w:kern w:val="0"/>
          <w:sz w:val="21"/>
          <w:szCs w:val="21"/>
          <w:highlight w:val="none"/>
          <w:lang w:val="en-US" w:eastAsia="zh-CN" w:bidi="ar"/>
        </w:rPr>
        <w:t>开展设备预防性检修工作和设备不安全、不规范的整改工作：包括设备及控制柜清洁、电缆孔洞封堵、防火材料的填充；户外设备的防雨、防尘；接地系统的检查；设备及线路整理、缺损标签补全，更新图纸，图纸应与标识一致；</w:t>
      </w:r>
      <w:r>
        <w:rPr>
          <w:rFonts w:hint="default" w:ascii="Calibri" w:hAnsi="Calibri"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根据现场实际情况梳理完善电视监控系统、门禁系统等系统网络拓扑图</w:t>
      </w:r>
      <w:r>
        <w:rPr>
          <w:rFonts w:hint="eastAsia" w:ascii="宋体" w:hAnsi="宋体" w:eastAsia="宋体" w:cs="宋体"/>
          <w:kern w:val="0"/>
          <w:sz w:val="21"/>
          <w:szCs w:val="21"/>
          <w:highlight w:val="none"/>
          <w:lang w:val="en-US" w:eastAsia="zh-CN" w:bidi="ar"/>
        </w:rPr>
        <w:t>。</w:t>
      </w:r>
    </w:p>
    <w:p w14:paraId="2E96D148">
      <w:pPr>
        <w:widowControl w:val="0"/>
        <w:numPr>
          <w:ilvl w:val="0"/>
          <w:numId w:val="0"/>
        </w:numPr>
        <w:spacing w:line="360" w:lineRule="auto"/>
        <w:jc w:val="both"/>
        <w:rPr>
          <w:rFonts w:hint="eastAsia" w:ascii="宋体" w:hAnsi="宋体"/>
          <w:snapToGrid w:val="0"/>
          <w:color w:val="auto"/>
          <w:kern w:val="0"/>
          <w:sz w:val="21"/>
          <w:szCs w:val="21"/>
          <w:highlight w:val="none"/>
          <w:lang w:val="en-US" w:eastAsia="zh-CN"/>
        </w:rPr>
      </w:pPr>
      <w:r>
        <w:rPr>
          <w:rFonts w:hint="eastAsia"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CN" w:bidi="ar-SA"/>
        </w:rPr>
        <w:t>2.</w:t>
      </w:r>
      <w:r>
        <w:rPr>
          <w:rFonts w:hint="eastAsia" w:cs="宋体" w:asciiTheme="minorAscii" w:hAnsiTheme="minorAscii"/>
          <w:b w:val="0"/>
          <w:bCs/>
          <w:color w:val="auto"/>
          <w:kern w:val="2"/>
          <w:sz w:val="21"/>
          <w:szCs w:val="21"/>
          <w:highlight w:val="none"/>
          <w:lang w:val="en-US" w:eastAsia="zh" w:bidi="ar-SA"/>
        </w:rPr>
        <w:t>8</w:t>
      </w:r>
      <w:r>
        <w:rPr>
          <w:rFonts w:hint="eastAsia" w:ascii="宋体" w:hAnsi="宋体" w:eastAsia="宋体" w:cs="Times New Roman"/>
          <w:snapToGrid w:val="0"/>
          <w:color w:val="auto"/>
          <w:kern w:val="0"/>
          <w:sz w:val="21"/>
          <w:szCs w:val="21"/>
          <w:highlight w:val="none"/>
          <w:lang w:val="en-US" w:eastAsia="zh-CN"/>
        </w:rPr>
        <w:t xml:space="preserve"> 建立设备台帐、</w:t>
      </w:r>
      <w:r>
        <w:rPr>
          <w:rFonts w:hint="eastAsia" w:ascii="宋体" w:hAnsi="宋体"/>
          <w:snapToGrid w:val="0"/>
          <w:color w:val="auto"/>
          <w:kern w:val="0"/>
          <w:sz w:val="21"/>
          <w:szCs w:val="21"/>
          <w:highlight w:val="none"/>
        </w:rPr>
        <w:t>做好日志记录、设备检修记录、安全学习记录、总结分析等管理工作</w:t>
      </w:r>
      <w:r>
        <w:rPr>
          <w:rFonts w:hint="eastAsia" w:ascii="宋体" w:hAnsi="宋体"/>
          <w:snapToGrid w:val="0"/>
          <w:color w:val="auto"/>
          <w:kern w:val="0"/>
          <w:sz w:val="21"/>
          <w:szCs w:val="21"/>
          <w:highlight w:val="none"/>
          <w:lang w:eastAsia="zh-CN"/>
        </w:rPr>
        <w:t>；</w:t>
      </w:r>
    </w:p>
    <w:p w14:paraId="51D3635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kern w:val="2"/>
          <w:sz w:val="21"/>
          <w:szCs w:val="21"/>
          <w:highlight w:val="none"/>
          <w:lang w:val="en-US" w:eastAsia="zh-CN" w:bidi="ar"/>
        </w:rPr>
      </w:pPr>
      <w:r>
        <w:rPr>
          <w:rFonts w:hint="eastAsia" w:eastAsia="宋体" w:cs="宋体" w:asciiTheme="minorAscii" w:hAnsiTheme="minorAscii"/>
          <w:b w:val="0"/>
          <w:bCs/>
          <w:color w:val="auto"/>
          <w:kern w:val="2"/>
          <w:sz w:val="21"/>
          <w:szCs w:val="21"/>
          <w:highlight w:val="none"/>
          <w:lang w:val="en-US" w:eastAsia="zh-CN" w:bidi="ar-SA"/>
        </w:rPr>
        <w:t>4.2.</w:t>
      </w:r>
      <w:r>
        <w:rPr>
          <w:rFonts w:hint="eastAsia" w:cs="宋体" w:asciiTheme="minorAscii" w:hAnsiTheme="minorAscii"/>
          <w:b w:val="0"/>
          <w:bCs/>
          <w:color w:val="auto"/>
          <w:kern w:val="2"/>
          <w:sz w:val="21"/>
          <w:szCs w:val="21"/>
          <w:highlight w:val="none"/>
          <w:lang w:val="en-US" w:eastAsia="zh" w:bidi="ar-SA"/>
        </w:rPr>
        <w:t>9</w:t>
      </w:r>
      <w:r>
        <w:rPr>
          <w:rFonts w:hint="eastAsia" w:ascii="宋体" w:hAnsi="宋体"/>
          <w:snapToGrid w:val="0"/>
          <w:color w:val="auto"/>
          <w:kern w:val="0"/>
          <w:sz w:val="21"/>
          <w:szCs w:val="21"/>
          <w:highlight w:val="none"/>
          <w:lang w:val="en-US" w:eastAsia="zh-CN"/>
        </w:rPr>
        <w:t xml:space="preserve"> 制定检修、维护材料、备品备件采购计划</w:t>
      </w:r>
      <w:r>
        <w:rPr>
          <w:rFonts w:hint="eastAsia" w:ascii="宋体" w:hAnsi="宋体"/>
          <w:snapToGrid w:val="0"/>
          <w:color w:val="auto"/>
          <w:kern w:val="0"/>
          <w:sz w:val="21"/>
          <w:szCs w:val="21"/>
          <w:highlight w:val="none"/>
          <w:lang w:val="en-US" w:eastAsia="zh"/>
        </w:rPr>
        <w:t>，</w:t>
      </w:r>
      <w:r>
        <w:rPr>
          <w:rFonts w:hint="eastAsia" w:ascii="宋体" w:hAnsi="宋体" w:eastAsia="宋体" w:cs="宋体"/>
          <w:b w:val="0"/>
          <w:bCs/>
          <w:kern w:val="2"/>
          <w:sz w:val="21"/>
          <w:szCs w:val="21"/>
          <w:highlight w:val="none"/>
          <w:lang w:val="en-US" w:eastAsia="zh-CN" w:bidi="ar"/>
        </w:rPr>
        <w:t>及时上报</w:t>
      </w:r>
      <w:r>
        <w:rPr>
          <w:rFonts w:hint="eastAsia" w:ascii="宋体" w:hAnsi="宋体" w:cs="宋体"/>
          <w:b w:val="0"/>
          <w:bCs/>
          <w:kern w:val="2"/>
          <w:sz w:val="21"/>
          <w:szCs w:val="21"/>
          <w:highlight w:val="none"/>
          <w:lang w:val="en-US" w:eastAsia="zh-CN" w:bidi="ar"/>
        </w:rPr>
        <w:t>比选人</w:t>
      </w:r>
      <w:r>
        <w:rPr>
          <w:rFonts w:hint="eastAsia" w:ascii="宋体" w:hAnsi="宋体" w:eastAsia="宋体" w:cs="宋体"/>
          <w:b w:val="0"/>
          <w:bCs/>
          <w:kern w:val="2"/>
          <w:sz w:val="21"/>
          <w:szCs w:val="21"/>
          <w:highlight w:val="none"/>
          <w:lang w:val="en-US" w:eastAsia="zh-CN" w:bidi="ar"/>
        </w:rPr>
        <w:t>相关的管理人</w:t>
      </w:r>
      <w:r>
        <w:rPr>
          <w:rFonts w:hint="eastAsia" w:ascii="宋体" w:hAnsi="宋体" w:eastAsia="宋体" w:cs="宋体"/>
          <w:b w:val="0"/>
          <w:bCs/>
          <w:kern w:val="2"/>
          <w:sz w:val="21"/>
          <w:szCs w:val="21"/>
          <w:highlight w:val="none"/>
          <w:lang w:val="en-US" w:eastAsia="zh" w:bidi="ar"/>
        </w:rPr>
        <w:t>员</w:t>
      </w:r>
      <w:r>
        <w:rPr>
          <w:rFonts w:hint="eastAsia" w:ascii="宋体" w:hAnsi="宋体" w:eastAsia="宋体" w:cs="宋体"/>
          <w:b w:val="0"/>
          <w:bCs/>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所有设备外送维修和采购必须向</w:t>
      </w:r>
      <w:r>
        <w:rPr>
          <w:rFonts w:hint="eastAsia" w:ascii="宋体" w:hAnsi="宋体" w:cs="宋体"/>
          <w:b w:val="0"/>
          <w:bCs/>
          <w:kern w:val="2"/>
          <w:sz w:val="21"/>
          <w:szCs w:val="21"/>
          <w:highlight w:val="none"/>
          <w:lang w:val="en-US" w:eastAsia="zh-CN" w:bidi="ar"/>
        </w:rPr>
        <w:t>比选人</w:t>
      </w:r>
      <w:r>
        <w:rPr>
          <w:rFonts w:hint="eastAsia" w:ascii="宋体" w:hAnsi="宋体" w:eastAsia="宋体" w:cs="宋体"/>
          <w:kern w:val="2"/>
          <w:sz w:val="21"/>
          <w:szCs w:val="21"/>
          <w:highlight w:val="none"/>
          <w:lang w:val="en-US" w:eastAsia="zh-CN" w:bidi="ar"/>
        </w:rPr>
        <w:t>提出申请，由</w:t>
      </w:r>
      <w:r>
        <w:rPr>
          <w:rFonts w:hint="eastAsia" w:ascii="宋体" w:hAnsi="宋体" w:cs="宋体"/>
          <w:b w:val="0"/>
          <w:bCs/>
          <w:kern w:val="2"/>
          <w:sz w:val="21"/>
          <w:szCs w:val="21"/>
          <w:highlight w:val="none"/>
          <w:lang w:val="en-US" w:eastAsia="zh-CN" w:bidi="ar"/>
        </w:rPr>
        <w:t>比选人</w:t>
      </w:r>
      <w:r>
        <w:rPr>
          <w:rFonts w:hint="eastAsia" w:ascii="宋体" w:hAnsi="宋体" w:eastAsia="宋体" w:cs="宋体"/>
          <w:kern w:val="2"/>
          <w:sz w:val="21"/>
          <w:szCs w:val="21"/>
          <w:highlight w:val="none"/>
          <w:lang w:val="en-US" w:eastAsia="zh-CN" w:bidi="ar"/>
        </w:rPr>
        <w:t>负责外送修理或采购</w:t>
      </w:r>
      <w:r>
        <w:rPr>
          <w:rFonts w:hint="eastAsia" w:ascii="宋体" w:hAnsi="宋体" w:eastAsia="宋体" w:cs="宋体"/>
          <w:b w:val="0"/>
          <w:bCs/>
          <w:kern w:val="2"/>
          <w:sz w:val="21"/>
          <w:szCs w:val="21"/>
          <w:highlight w:val="none"/>
          <w:lang w:val="en-US" w:eastAsia="zh-CN" w:bidi="ar"/>
        </w:rPr>
        <w:t>。</w:t>
      </w:r>
    </w:p>
    <w:p w14:paraId="76DD4EF2">
      <w:pPr>
        <w:keepNext w:val="0"/>
        <w:keepLines w:val="0"/>
        <w:widowControl w:val="0"/>
        <w:suppressLineNumbers w:val="0"/>
        <w:spacing w:before="0" w:beforeAutospacing="0" w:after="0" w:afterAutospacing="0" w:line="360" w:lineRule="auto"/>
        <w:ind w:left="0" w:right="0"/>
        <w:jc w:val="both"/>
        <w:rPr>
          <w:rFonts w:hint="eastAsia"/>
          <w:highlight w:val="none"/>
        </w:rPr>
      </w:pPr>
      <w:r>
        <w:rPr>
          <w:rFonts w:hint="default" w:ascii="Calibri" w:hAnsi="Calibri" w:eastAsia="宋体" w:cs="Calibri"/>
          <w:b w:val="0"/>
          <w:bCs/>
          <w:kern w:val="2"/>
          <w:sz w:val="21"/>
          <w:szCs w:val="21"/>
          <w:highlight w:val="none"/>
          <w:lang w:val="en-US" w:eastAsia="zh-CN" w:bidi="ar"/>
        </w:rPr>
        <w:t>4.2.1</w:t>
      </w:r>
      <w:r>
        <w:rPr>
          <w:rFonts w:hint="eastAsia" w:eastAsia="宋体" w:cs="Calibri"/>
          <w:b w:val="0"/>
          <w:bCs/>
          <w:kern w:val="2"/>
          <w:sz w:val="21"/>
          <w:szCs w:val="21"/>
          <w:highlight w:val="none"/>
          <w:lang w:val="en-US" w:eastAsia="zh" w:bidi="ar"/>
        </w:rPr>
        <w:t>0</w:t>
      </w:r>
      <w:r>
        <w:rPr>
          <w:rFonts w:hint="eastAsia" w:ascii="宋体" w:hAnsi="宋体" w:eastAsia="宋体" w:cs="宋体"/>
          <w:b w:val="0"/>
          <w:bCs/>
          <w:kern w:val="2"/>
          <w:sz w:val="21"/>
          <w:szCs w:val="21"/>
          <w:highlight w:val="none"/>
          <w:lang w:val="en-US" w:eastAsia="zh-CN" w:bidi="ar"/>
        </w:rPr>
        <w:t>开展</w:t>
      </w:r>
      <w:r>
        <w:rPr>
          <w:rFonts w:hint="eastAsia" w:ascii="宋体" w:hAnsi="宋体" w:cs="宋体"/>
          <w:b w:val="0"/>
          <w:bCs/>
          <w:kern w:val="2"/>
          <w:sz w:val="21"/>
          <w:szCs w:val="21"/>
          <w:highlight w:val="none"/>
          <w:lang w:val="en-US" w:eastAsia="zh-CN" w:bidi="ar"/>
        </w:rPr>
        <w:t>比选人</w:t>
      </w:r>
      <w:r>
        <w:rPr>
          <w:rFonts w:hint="eastAsia" w:ascii="宋体" w:hAnsi="宋体" w:eastAsia="宋体" w:cs="宋体"/>
          <w:b w:val="0"/>
          <w:bCs/>
          <w:kern w:val="2"/>
          <w:sz w:val="21"/>
          <w:szCs w:val="21"/>
          <w:highlight w:val="none"/>
          <w:lang w:val="en-US" w:eastAsia="zh-CN" w:bidi="ar"/>
        </w:rPr>
        <w:t>的防洪度夏、春季及秋季安全大检查、节假日节前安全大检查和隐患自查自纠等安全检查、整改工作。</w:t>
      </w:r>
    </w:p>
    <w:p w14:paraId="2466FE53">
      <w:pPr>
        <w:widowControl w:val="0"/>
        <w:numPr>
          <w:ilvl w:val="0"/>
          <w:numId w:val="0"/>
        </w:numPr>
        <w:spacing w:line="360" w:lineRule="auto"/>
        <w:jc w:val="both"/>
        <w:rPr>
          <w:rFonts w:hint="eastAsia" w:ascii="宋体" w:hAnsi="宋体" w:eastAsia="宋体"/>
          <w:snapToGrid w:val="0"/>
          <w:color w:val="auto"/>
          <w:kern w:val="0"/>
          <w:sz w:val="21"/>
          <w:szCs w:val="21"/>
          <w:highlight w:val="none"/>
          <w:lang w:val="en-US" w:eastAsia="zh"/>
        </w:rPr>
      </w:pPr>
      <w:r>
        <w:rPr>
          <w:rFonts w:hint="eastAsia" w:eastAsia="宋体" w:cs="宋体" w:asciiTheme="minorAscii" w:hAnsiTheme="minorAscii"/>
          <w:b w:val="0"/>
          <w:bCs/>
          <w:color w:val="auto"/>
          <w:kern w:val="2"/>
          <w:sz w:val="21"/>
          <w:szCs w:val="21"/>
          <w:highlight w:val="none"/>
          <w:lang w:val="en-US" w:eastAsia="zh-CN" w:bidi="ar-SA"/>
        </w:rPr>
        <w:t>4.2.</w:t>
      </w:r>
      <w:r>
        <w:rPr>
          <w:rFonts w:hint="eastAsia" w:cs="宋体" w:asciiTheme="minorAscii" w:hAnsiTheme="minorAscii"/>
          <w:b w:val="0"/>
          <w:bCs/>
          <w:color w:val="auto"/>
          <w:kern w:val="2"/>
          <w:sz w:val="21"/>
          <w:szCs w:val="21"/>
          <w:highlight w:val="none"/>
          <w:lang w:val="en-US" w:eastAsia="zh" w:bidi="ar-SA"/>
        </w:rPr>
        <w:t>11</w:t>
      </w:r>
      <w:r>
        <w:rPr>
          <w:rFonts w:hint="eastAsia" w:ascii="宋体" w:hAnsi="宋体"/>
          <w:snapToGrid w:val="0"/>
          <w:color w:val="auto"/>
          <w:kern w:val="0"/>
          <w:sz w:val="21"/>
          <w:szCs w:val="21"/>
          <w:highlight w:val="none"/>
          <w:lang w:val="en-US" w:eastAsia="zh-CN"/>
        </w:rPr>
        <w:t xml:space="preserve"> 协助公司完成安防及监控系统的的扩建及升级改造工作</w:t>
      </w:r>
      <w:r>
        <w:rPr>
          <w:rFonts w:hint="eastAsia" w:ascii="宋体" w:hAnsi="宋体"/>
          <w:snapToGrid w:val="0"/>
          <w:color w:val="auto"/>
          <w:kern w:val="0"/>
          <w:sz w:val="21"/>
          <w:szCs w:val="21"/>
          <w:highlight w:val="none"/>
          <w:lang w:val="en-US" w:eastAsia="zh"/>
        </w:rPr>
        <w:t>。</w:t>
      </w:r>
    </w:p>
    <w:p w14:paraId="33EA541F">
      <w:pPr>
        <w:spacing w:line="360" w:lineRule="auto"/>
        <w:jc w:val="left"/>
        <w:rPr>
          <w:rFonts w:hint="eastAsia" w:ascii="宋体" w:hAnsi="宋体"/>
          <w:snapToGrid w:val="0"/>
          <w:color w:val="auto"/>
          <w:kern w:val="0"/>
          <w:szCs w:val="21"/>
          <w:highlight w:val="none"/>
          <w:lang w:val="en-US" w:eastAsia="zh-CN"/>
        </w:rPr>
      </w:pPr>
      <w:r>
        <w:rPr>
          <w:rFonts w:hint="default"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 w:bidi="ar-SA"/>
        </w:rPr>
        <w:t>2</w:t>
      </w:r>
      <w:r>
        <w:rPr>
          <w:rFonts w:hint="default" w:eastAsia="宋体" w:cs="宋体" w:asciiTheme="minorAscii" w:hAnsiTheme="minorAscii"/>
          <w:b w:val="0"/>
          <w:bCs/>
          <w:color w:val="auto"/>
          <w:kern w:val="2"/>
          <w:sz w:val="21"/>
          <w:szCs w:val="21"/>
          <w:highlight w:val="none"/>
          <w:lang w:val="en-US" w:eastAsia="zh-CN" w:bidi="ar-SA"/>
        </w:rPr>
        <w:t>.</w:t>
      </w:r>
      <w:r>
        <w:rPr>
          <w:rFonts w:hint="eastAsia" w:eastAsia="宋体" w:cs="宋体" w:asciiTheme="minorAscii" w:hAnsiTheme="minorAscii"/>
          <w:b w:val="0"/>
          <w:bCs/>
          <w:color w:val="auto"/>
          <w:kern w:val="2"/>
          <w:sz w:val="21"/>
          <w:szCs w:val="21"/>
          <w:highlight w:val="none"/>
          <w:lang w:val="en-US" w:eastAsia="zh" w:bidi="ar-SA"/>
        </w:rPr>
        <w:t>12</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在检修工作中需要</w:t>
      </w:r>
      <w:r>
        <w:rPr>
          <w:rFonts w:hint="eastAsia" w:cs="宋体" w:asciiTheme="minorAscii" w:hAnsiTheme="minorAscii"/>
          <w:b w:val="0"/>
          <w:bCs/>
          <w:color w:val="auto"/>
          <w:kern w:val="2"/>
          <w:sz w:val="21"/>
          <w:szCs w:val="21"/>
          <w:highlight w:val="none"/>
          <w:lang w:val="en-US" w:eastAsia="zh" w:bidi="ar-SA"/>
        </w:rPr>
        <w:t>搭设</w:t>
      </w:r>
      <w:r>
        <w:rPr>
          <w:rFonts w:hint="eastAsia" w:ascii="宋体" w:hAnsi="宋体" w:eastAsia="宋体" w:cs="Times New Roman"/>
          <w:b w:val="0"/>
          <w:bCs w:val="0"/>
          <w:snapToGrid w:val="0"/>
          <w:color w:val="auto"/>
          <w:kern w:val="0"/>
          <w:sz w:val="21"/>
          <w:szCs w:val="21"/>
          <w:highlight w:val="none"/>
          <w:lang w:val="en-US" w:eastAsia="zh-CN" w:bidi="ar-SA"/>
        </w:rPr>
        <w:t>脚手架的</w:t>
      </w:r>
      <w:r>
        <w:rPr>
          <w:rFonts w:hint="eastAsia" w:ascii="宋体" w:hAnsi="宋体" w:eastAsia="宋体" w:cs="Times New Roman"/>
          <w:b w:val="0"/>
          <w:snapToGrid w:val="0"/>
          <w:color w:val="auto"/>
          <w:kern w:val="0"/>
          <w:sz w:val="21"/>
          <w:szCs w:val="21"/>
          <w:highlight w:val="none"/>
        </w:rPr>
        <w:t>工作，脚手架搭设工作由</w:t>
      </w:r>
      <w:r>
        <w:rPr>
          <w:rFonts w:hint="eastAsia" w:ascii="宋体" w:hAnsi="宋体" w:cs="Times New Roman"/>
          <w:b w:val="0"/>
          <w:snapToGrid w:val="0"/>
          <w:color w:val="auto"/>
          <w:kern w:val="0"/>
          <w:sz w:val="21"/>
          <w:szCs w:val="21"/>
          <w:highlight w:val="none"/>
          <w:lang w:eastAsia="zh-CN"/>
        </w:rPr>
        <w:t>比选人</w:t>
      </w:r>
      <w:r>
        <w:rPr>
          <w:rFonts w:hint="eastAsia" w:ascii="宋体" w:hAnsi="宋体" w:eastAsia="宋体" w:cs="Times New Roman"/>
          <w:b w:val="0"/>
          <w:snapToGrid w:val="0"/>
          <w:color w:val="auto"/>
          <w:kern w:val="0"/>
          <w:sz w:val="21"/>
          <w:szCs w:val="21"/>
          <w:highlight w:val="none"/>
        </w:rPr>
        <w:t>负责</w:t>
      </w:r>
      <w:r>
        <w:rPr>
          <w:rFonts w:hint="eastAsia" w:ascii="宋体" w:hAnsi="宋体" w:eastAsia="宋体" w:cs="Times New Roman"/>
          <w:b w:val="0"/>
          <w:snapToGrid w:val="0"/>
          <w:color w:val="auto"/>
          <w:kern w:val="0"/>
          <w:sz w:val="21"/>
          <w:szCs w:val="21"/>
          <w:highlight w:val="none"/>
          <w:lang w:eastAsia="zh-CN"/>
        </w:rPr>
        <w:t>（脚手架使用前验收由</w:t>
      </w:r>
      <w:r>
        <w:rPr>
          <w:rFonts w:hint="eastAsia" w:ascii="宋体" w:hAnsi="宋体" w:cs="Times New Roman"/>
          <w:b w:val="0"/>
          <w:snapToGrid w:val="0"/>
          <w:color w:val="auto"/>
          <w:kern w:val="0"/>
          <w:sz w:val="21"/>
          <w:szCs w:val="21"/>
          <w:highlight w:val="none"/>
          <w:lang w:eastAsia="zh-CN"/>
        </w:rPr>
        <w:t>比选申请人</w:t>
      </w:r>
      <w:r>
        <w:rPr>
          <w:rFonts w:hint="eastAsia" w:ascii="宋体" w:hAnsi="宋体" w:eastAsia="宋体" w:cs="Times New Roman"/>
          <w:b w:val="0"/>
          <w:snapToGrid w:val="0"/>
          <w:color w:val="auto"/>
          <w:kern w:val="0"/>
          <w:sz w:val="21"/>
          <w:szCs w:val="21"/>
          <w:highlight w:val="none"/>
          <w:lang w:eastAsia="zh-CN"/>
        </w:rPr>
        <w:t>负责）</w:t>
      </w:r>
      <w:r>
        <w:rPr>
          <w:rFonts w:hint="eastAsia" w:ascii="宋体" w:hAnsi="宋体" w:eastAsia="宋体" w:cs="Times New Roman"/>
          <w:b w:val="0"/>
          <w:bCs w:val="0"/>
          <w:snapToGrid w:val="0"/>
          <w:color w:val="auto"/>
          <w:kern w:val="0"/>
          <w:sz w:val="21"/>
          <w:szCs w:val="21"/>
          <w:highlight w:val="none"/>
          <w:lang w:val="en-US" w:eastAsia="zh-CN" w:bidi="ar-SA"/>
        </w:rPr>
        <w:t>。</w:t>
      </w:r>
    </w:p>
    <w:p w14:paraId="08E6E954">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default" w:eastAsia="宋体" w:cs="Times New Roman"/>
          <w:highlight w:val="none"/>
          <w:lang w:val="en-US" w:eastAsia="zh-CN"/>
        </w:rPr>
      </w:pPr>
      <w:r>
        <w:rPr>
          <w:rFonts w:hint="eastAsia" w:eastAsia="宋体" w:cs="Times New Roman"/>
          <w:highlight w:val="none"/>
          <w:lang w:val="en-US" w:eastAsia="zh-CN"/>
        </w:rPr>
        <w:t>4.3 工作要求</w:t>
      </w:r>
    </w:p>
    <w:p w14:paraId="50E317BA">
      <w:pPr>
        <w:spacing w:line="360" w:lineRule="auto"/>
        <w:jc w:val="left"/>
        <w:rPr>
          <w:rFonts w:hint="eastAsia" w:eastAsia="宋体" w:cs="宋体" w:asciiTheme="minorAscii" w:hAnsiTheme="minorAscii"/>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4.3.1</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应指定维护项目负责人。并派驻至少两名专业技术人员24小时常驻电厂定期对安防及监控系统进行检查、维护并对出现的问题及时进行维修，驻现场技术人员若须暂时离开现场，必须向</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相关管理部门请假，</w:t>
      </w:r>
      <w:r>
        <w:rPr>
          <w:rFonts w:hint="eastAsia" w:cs="宋体" w:asciiTheme="minorAscii" w:hAnsiTheme="minorAscii"/>
          <w:b w:val="0"/>
          <w:bCs/>
          <w:color w:val="auto"/>
          <w:kern w:val="2"/>
          <w:sz w:val="21"/>
          <w:szCs w:val="21"/>
          <w:highlight w:val="none"/>
          <w:lang w:val="en-US" w:eastAsia="zh" w:bidi="ar-SA"/>
        </w:rPr>
        <w:t>安排好替代人员并</w:t>
      </w:r>
      <w:r>
        <w:rPr>
          <w:rFonts w:hint="eastAsia" w:eastAsia="宋体" w:cs="宋体" w:asciiTheme="minorAscii" w:hAnsiTheme="minorAscii"/>
          <w:b w:val="0"/>
          <w:bCs/>
          <w:color w:val="auto"/>
          <w:kern w:val="2"/>
          <w:sz w:val="21"/>
          <w:szCs w:val="21"/>
          <w:highlight w:val="none"/>
          <w:lang w:val="en-US" w:eastAsia="zh-CN" w:bidi="ar-SA"/>
        </w:rPr>
        <w:t>履行完请假手续后方可离开。</w:t>
      </w:r>
    </w:p>
    <w:p w14:paraId="0B883405">
      <w:pPr>
        <w:spacing w:line="360" w:lineRule="auto"/>
        <w:jc w:val="left"/>
        <w:rPr>
          <w:rFonts w:hint="eastAsia" w:eastAsia="宋体" w:cs="宋体" w:asciiTheme="minorAscii" w:hAnsiTheme="minorAscii"/>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4.3.2</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应编制维护手册或制度，经</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审核后报</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审批同意；</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应根据</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实际安防及监控设备编制具体的维护方案报</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审批同意；</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负责编制川南发电公司安防设备的定期试验计划及措施，报</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相关部门审核并执行。</w:t>
      </w:r>
    </w:p>
    <w:p w14:paraId="717BAD77">
      <w:pPr>
        <w:spacing w:line="360" w:lineRule="auto"/>
        <w:jc w:val="left"/>
        <w:rPr>
          <w:rFonts w:hint="eastAsia" w:eastAsia="宋体" w:cs="宋体" w:asciiTheme="minorAscii" w:hAnsiTheme="minorAscii"/>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 xml:space="preserve">4.3.3 </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应坚持每天巡视检查现场设备，做好设备定期维护，作好巡视检查和定期试验记录、设备检修记录等，每月向</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设备维修部及生产技术部提供维护报告，报告应对维护的工作现状、技术参数指标及材料消耗等进行分析，对维护工作进行总结，提出对存在的问题的改进意见和建议。</w:t>
      </w:r>
    </w:p>
    <w:p w14:paraId="5265C590">
      <w:pPr>
        <w:spacing w:line="360" w:lineRule="auto"/>
        <w:jc w:val="left"/>
        <w:rPr>
          <w:rFonts w:hint="eastAsia" w:eastAsia="宋体" w:cs="宋体" w:asciiTheme="minorAscii" w:hAnsiTheme="minorAscii"/>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4.3.4</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驻</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地维护人员如有变更，需提前两周报</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确认；</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负责无条件更换</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认为不合格的</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所派维护人员。</w:t>
      </w:r>
    </w:p>
    <w:p w14:paraId="70ECD366">
      <w:pPr>
        <w:spacing w:line="360" w:lineRule="auto"/>
        <w:jc w:val="left"/>
        <w:rPr>
          <w:rFonts w:hint="eastAsia" w:eastAsia="宋体" w:cs="宋体" w:asciiTheme="minorAscii" w:hAnsiTheme="minorAscii"/>
          <w:b w:val="0"/>
          <w:bCs/>
          <w:color w:val="auto"/>
          <w:kern w:val="2"/>
          <w:sz w:val="21"/>
          <w:szCs w:val="21"/>
          <w:highlight w:val="none"/>
          <w:lang w:val="en-US" w:eastAsia="zh" w:bidi="ar-SA"/>
        </w:rPr>
      </w:pPr>
      <w:r>
        <w:rPr>
          <w:rFonts w:hint="eastAsia" w:eastAsia="宋体" w:cs="宋体" w:asciiTheme="minorAscii" w:hAnsiTheme="minorAscii"/>
          <w:b w:val="0"/>
          <w:bCs/>
          <w:color w:val="auto"/>
          <w:kern w:val="2"/>
          <w:sz w:val="21"/>
          <w:szCs w:val="21"/>
          <w:highlight w:val="none"/>
          <w:lang w:val="en-US" w:eastAsia="zh-CN" w:bidi="ar-SA"/>
        </w:rPr>
        <w:t>4.3.5</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必须遵守</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生产现场的安全、文明生产各项规章制度，服从</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的安全文明生产管理，严格履行工作票制度。在危险区域范围内工作、必须制定安全作业措施，并报</w:t>
      </w:r>
      <w:r>
        <w:rPr>
          <w:rFonts w:hint="eastAsia" w:cs="宋体" w:asciiTheme="minorAscii" w:hAnsiTheme="minorAscii"/>
          <w:b w:val="0"/>
          <w:bCs/>
          <w:color w:val="auto"/>
          <w:kern w:val="2"/>
          <w:sz w:val="21"/>
          <w:szCs w:val="21"/>
          <w:highlight w:val="none"/>
          <w:lang w:val="en-US" w:eastAsia="zh-CN" w:bidi="ar-SA"/>
        </w:rPr>
        <w:t>比选人</w:t>
      </w:r>
      <w:r>
        <w:rPr>
          <w:rFonts w:hint="eastAsia" w:eastAsia="宋体" w:cs="宋体" w:asciiTheme="minorAscii" w:hAnsiTheme="minorAscii"/>
          <w:b w:val="0"/>
          <w:bCs/>
          <w:color w:val="auto"/>
          <w:kern w:val="2"/>
          <w:sz w:val="21"/>
          <w:szCs w:val="21"/>
          <w:highlight w:val="none"/>
          <w:lang w:val="en-US" w:eastAsia="zh-CN" w:bidi="ar-SA"/>
        </w:rPr>
        <w:t>审查合格后方能实施，工作中应严格执行监护制度</w:t>
      </w:r>
      <w:r>
        <w:rPr>
          <w:rFonts w:hint="eastAsia" w:eastAsia="宋体" w:cs="宋体" w:asciiTheme="minorAscii" w:hAnsiTheme="minorAscii"/>
          <w:b w:val="0"/>
          <w:bCs/>
          <w:color w:val="auto"/>
          <w:kern w:val="2"/>
          <w:sz w:val="21"/>
          <w:szCs w:val="21"/>
          <w:highlight w:val="none"/>
          <w:lang w:val="en-US" w:eastAsia="zh" w:bidi="ar-SA"/>
        </w:rPr>
        <w:t>，</w:t>
      </w:r>
      <w:r>
        <w:rPr>
          <w:rFonts w:hint="eastAsia" w:eastAsia="宋体" w:cs="宋体" w:asciiTheme="minorAscii" w:hAnsiTheme="minorAscii"/>
          <w:b w:val="0"/>
          <w:bCs/>
          <w:color w:val="auto"/>
          <w:kern w:val="2"/>
          <w:sz w:val="21"/>
          <w:szCs w:val="21"/>
          <w:highlight w:val="none"/>
          <w:lang w:val="en-US" w:eastAsia="zh-CN" w:bidi="ar-SA"/>
        </w:rPr>
        <w:t>严格遵守相关的安全规范及标准进行工作。</w:t>
      </w:r>
    </w:p>
    <w:p w14:paraId="6AFA514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
        </w:rPr>
      </w:pPr>
      <w:bookmarkStart w:id="23" w:name="_Toc28395"/>
      <w:r>
        <w:rPr>
          <w:rFonts w:hint="eastAsia" w:eastAsia="宋体" w:cs="Times New Roman"/>
          <w:highlight w:val="none"/>
          <w:lang w:val="en-US" w:eastAsia="zh"/>
        </w:rPr>
        <w:t>4.4技术要求</w:t>
      </w:r>
    </w:p>
    <w:p w14:paraId="4362DA78">
      <w:pPr>
        <w:spacing w:line="360" w:lineRule="auto"/>
        <w:jc w:val="left"/>
        <w:rPr>
          <w:rFonts w:hint="eastAsia" w:eastAsia="宋体" w:cs="宋体" w:asciiTheme="minorAscii" w:hAnsiTheme="minorAscii"/>
          <w:b w:val="0"/>
          <w:bCs/>
          <w:color w:val="auto"/>
          <w:kern w:val="2"/>
          <w:sz w:val="21"/>
          <w:szCs w:val="21"/>
          <w:highlight w:val="none"/>
          <w:lang w:val="en-US" w:eastAsia="zh-CN" w:bidi="ar-SA"/>
        </w:rPr>
      </w:pPr>
      <w:r>
        <w:rPr>
          <w:rFonts w:hint="eastAsia"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 w:bidi="ar-SA"/>
        </w:rPr>
        <w:t>4.</w:t>
      </w:r>
      <w:r>
        <w:rPr>
          <w:rFonts w:hint="eastAsia" w:eastAsia="宋体" w:cs="宋体" w:asciiTheme="minorAscii" w:hAnsiTheme="minorAscii"/>
          <w:b w:val="0"/>
          <w:bCs/>
          <w:color w:val="auto"/>
          <w:kern w:val="2"/>
          <w:sz w:val="21"/>
          <w:szCs w:val="21"/>
          <w:highlight w:val="none"/>
          <w:lang w:val="en-US" w:eastAsia="zh-CN" w:bidi="ar-SA"/>
        </w:rPr>
        <w:t>1前端设备维护：定期检查摄像头的安装支架是否牢固，有无松动、变形等现象，确保摄像头安装位置准确，监控范围覆盖全面。清洁摄像头镜头时，应使用专用的清洁剂和柔软的擦拭布，避免刮伤镜头。检查摄像头的云台转动是否灵活，限位装置是否正常，及时添加润滑油，保证云台正常工作。对于具有红外夜视功能的摄像头，应检查红外灯是否正常亮起，夜视效果是否良好。</w:t>
      </w:r>
    </w:p>
    <w:p w14:paraId="0C52FE58">
      <w:pPr>
        <w:spacing w:line="360" w:lineRule="auto"/>
        <w:jc w:val="left"/>
        <w:rPr>
          <w:rFonts w:hint="eastAsia" w:eastAsia="宋体" w:cs="宋体" w:asciiTheme="minorAscii" w:hAnsiTheme="minorAscii"/>
          <w:b w:val="0"/>
          <w:bCs/>
          <w:color w:val="auto"/>
          <w:kern w:val="2"/>
          <w:sz w:val="21"/>
          <w:szCs w:val="21"/>
          <w:highlight w:val="none"/>
          <w:lang w:val="en-US" w:eastAsia="zh-CN" w:bidi="ar-SA"/>
        </w:rPr>
      </w:pPr>
      <w:r>
        <w:rPr>
          <w:rFonts w:hint="default"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 w:bidi="ar-SA"/>
        </w:rPr>
        <w:t>4</w:t>
      </w:r>
      <w:r>
        <w:rPr>
          <w:rFonts w:hint="default" w:eastAsia="宋体" w:cs="宋体" w:asciiTheme="minorAscii" w:hAnsiTheme="minorAscii"/>
          <w:b w:val="0"/>
          <w:bCs/>
          <w:color w:val="auto"/>
          <w:kern w:val="2"/>
          <w:sz w:val="21"/>
          <w:szCs w:val="21"/>
          <w:highlight w:val="none"/>
          <w:lang w:val="en-US" w:eastAsia="zh-CN" w:bidi="ar-SA"/>
        </w:rPr>
        <w:t>.2</w:t>
      </w:r>
      <w:r>
        <w:rPr>
          <w:rFonts w:hint="eastAsia" w:eastAsia="宋体" w:cs="宋体" w:asciiTheme="minorAscii" w:hAnsiTheme="minorAscii"/>
          <w:b w:val="0"/>
          <w:bCs/>
          <w:color w:val="auto"/>
          <w:kern w:val="2"/>
          <w:sz w:val="21"/>
          <w:szCs w:val="21"/>
          <w:highlight w:val="none"/>
          <w:lang w:val="en-US" w:eastAsia="zh-CN" w:bidi="ar-SA"/>
        </w:rPr>
        <w:t>传输设备维护：检查交换机、路由器等网络设备的运行状态，查看设备的指示灯是否正常显示，有无异常闪烁或熄灭的情况。定期清理网络设备的散热孔，确保设备散热良好，防止因过热导致设备故障。检查网线、光纤等传输线路是否连接正常，有无松动、破损、老化等现象。对于网线，可使用网线测试仪测试线路的连通性和信号强度；对于光纤，应使用光功率计测试光纤的衰减情况，确保传输信号的质量。及时更换有问题的传输线路和网络设备部件。</w:t>
      </w:r>
    </w:p>
    <w:p w14:paraId="7D0CA359">
      <w:pPr>
        <w:spacing w:line="360" w:lineRule="auto"/>
        <w:jc w:val="left"/>
        <w:rPr>
          <w:rFonts w:hint="default" w:eastAsia="宋体" w:cs="宋体" w:asciiTheme="minorAscii" w:hAnsiTheme="minorAscii"/>
          <w:b w:val="0"/>
          <w:bCs/>
          <w:color w:val="auto"/>
          <w:kern w:val="2"/>
          <w:sz w:val="21"/>
          <w:szCs w:val="21"/>
          <w:highlight w:val="none"/>
          <w:lang w:val="en-US" w:eastAsia="zh-CN" w:bidi="ar-SA"/>
        </w:rPr>
      </w:pPr>
      <w:r>
        <w:rPr>
          <w:rFonts w:hint="default"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 w:bidi="ar-SA"/>
        </w:rPr>
        <w:t>4</w:t>
      </w:r>
      <w:r>
        <w:rPr>
          <w:rFonts w:hint="default" w:eastAsia="宋体" w:cs="宋体" w:asciiTheme="minorAscii" w:hAnsiTheme="minorAscii"/>
          <w:b w:val="0"/>
          <w:bCs/>
          <w:color w:val="auto"/>
          <w:kern w:val="2"/>
          <w:sz w:val="21"/>
          <w:szCs w:val="21"/>
          <w:highlight w:val="none"/>
          <w:lang w:val="en-US" w:eastAsia="zh-CN" w:bidi="ar-SA"/>
        </w:rPr>
        <w:t>.</w:t>
      </w:r>
      <w:r>
        <w:rPr>
          <w:rFonts w:hint="eastAsia" w:eastAsia="宋体" w:cs="宋体" w:asciiTheme="minorAscii" w:hAnsiTheme="minorAscii"/>
          <w:b w:val="0"/>
          <w:bCs/>
          <w:color w:val="auto"/>
          <w:kern w:val="2"/>
          <w:sz w:val="21"/>
          <w:szCs w:val="21"/>
          <w:highlight w:val="none"/>
          <w:lang w:val="en-US" w:eastAsia="zh" w:bidi="ar-SA"/>
        </w:rPr>
        <w:t>3</w:t>
      </w:r>
      <w:r>
        <w:rPr>
          <w:rFonts w:hint="eastAsia" w:eastAsia="宋体" w:cs="宋体" w:asciiTheme="minorAscii" w:hAnsiTheme="minorAscii"/>
          <w:b w:val="0"/>
          <w:bCs/>
          <w:color w:val="auto"/>
          <w:kern w:val="2"/>
          <w:sz w:val="21"/>
          <w:szCs w:val="21"/>
          <w:highlight w:val="none"/>
          <w:lang w:val="en-US" w:eastAsia="zh-CN" w:bidi="ar-SA"/>
        </w:rPr>
        <w:t>监控中心设备维护：保持监控中心设备的清洁，定期清理</w:t>
      </w:r>
      <w:r>
        <w:rPr>
          <w:rFonts w:hint="eastAsia" w:eastAsia="宋体" w:cs="宋体" w:asciiTheme="minorAscii" w:hAnsiTheme="minorAscii"/>
          <w:b w:val="0"/>
          <w:bCs/>
          <w:color w:val="auto"/>
          <w:kern w:val="2"/>
          <w:sz w:val="21"/>
          <w:szCs w:val="21"/>
          <w:highlight w:val="none"/>
          <w:lang w:val="en-US" w:eastAsia="zh" w:bidi="ar-SA"/>
        </w:rPr>
        <w:t>柜内及</w:t>
      </w:r>
      <w:r>
        <w:rPr>
          <w:rFonts w:hint="eastAsia" w:eastAsia="宋体" w:cs="宋体" w:asciiTheme="minorAscii" w:hAnsiTheme="minorAscii"/>
          <w:b w:val="0"/>
          <w:bCs/>
          <w:color w:val="auto"/>
          <w:kern w:val="2"/>
          <w:sz w:val="21"/>
          <w:szCs w:val="21"/>
          <w:highlight w:val="none"/>
          <w:lang w:val="en-US" w:eastAsia="zh-CN" w:bidi="ar-SA"/>
        </w:rPr>
        <w:t>设备表面的灰尘。检查监控主机的运行状态。对显示器进行色彩校准和亮度调整，确保图像显示清晰、准确。定期对监控中心设备的硬件进行检测和维护，如内存、硬盘、显卡、显示器等部件，确保设备稳定运行。</w:t>
      </w:r>
    </w:p>
    <w:p w14:paraId="4778B815">
      <w:pPr>
        <w:spacing w:line="360" w:lineRule="auto"/>
        <w:jc w:val="left"/>
        <w:rPr>
          <w:rFonts w:hint="eastAsia" w:eastAsia="宋体" w:cs="宋体" w:asciiTheme="minorAscii" w:hAnsiTheme="minorAscii"/>
          <w:b w:val="0"/>
          <w:bCs/>
          <w:color w:val="auto"/>
          <w:kern w:val="2"/>
          <w:sz w:val="21"/>
          <w:szCs w:val="21"/>
          <w:highlight w:val="none"/>
          <w:lang w:val="en-US" w:eastAsia="zh" w:bidi="ar-SA"/>
        </w:rPr>
      </w:pPr>
      <w:r>
        <w:rPr>
          <w:rFonts w:hint="default" w:eastAsia="宋体" w:cs="宋体" w:asciiTheme="minorAscii" w:hAnsiTheme="minorAscii"/>
          <w:b w:val="0"/>
          <w:bCs/>
          <w:color w:val="auto"/>
          <w:kern w:val="2"/>
          <w:sz w:val="21"/>
          <w:szCs w:val="21"/>
          <w:highlight w:val="none"/>
          <w:lang w:val="en-US" w:eastAsia="zh-CN" w:bidi="ar-SA"/>
        </w:rPr>
        <w:t>4.</w:t>
      </w:r>
      <w:r>
        <w:rPr>
          <w:rFonts w:hint="eastAsia" w:eastAsia="宋体" w:cs="宋体" w:asciiTheme="minorAscii" w:hAnsiTheme="minorAscii"/>
          <w:b w:val="0"/>
          <w:bCs/>
          <w:color w:val="auto"/>
          <w:kern w:val="2"/>
          <w:sz w:val="21"/>
          <w:szCs w:val="21"/>
          <w:highlight w:val="none"/>
          <w:lang w:val="en-US" w:eastAsia="zh" w:bidi="ar-SA"/>
        </w:rPr>
        <w:t>4</w:t>
      </w:r>
      <w:r>
        <w:rPr>
          <w:rFonts w:hint="default" w:eastAsia="宋体" w:cs="宋体" w:asciiTheme="minorAscii" w:hAnsiTheme="minorAscii"/>
          <w:b w:val="0"/>
          <w:bCs/>
          <w:color w:val="auto"/>
          <w:kern w:val="2"/>
          <w:sz w:val="21"/>
          <w:szCs w:val="21"/>
          <w:highlight w:val="none"/>
          <w:lang w:val="en-US" w:eastAsia="zh-CN" w:bidi="ar-SA"/>
        </w:rPr>
        <w:t>.</w:t>
      </w:r>
      <w:r>
        <w:rPr>
          <w:rFonts w:hint="eastAsia" w:eastAsia="宋体" w:cs="宋体" w:asciiTheme="minorAscii" w:hAnsiTheme="minorAscii"/>
          <w:b w:val="0"/>
          <w:bCs/>
          <w:color w:val="auto"/>
          <w:kern w:val="2"/>
          <w:sz w:val="21"/>
          <w:szCs w:val="21"/>
          <w:highlight w:val="none"/>
          <w:lang w:val="en-US" w:eastAsia="zh" w:bidi="ar-SA"/>
        </w:rPr>
        <w:t>4</w:t>
      </w:r>
      <w:r>
        <w:rPr>
          <w:rFonts w:hint="eastAsia" w:cs="宋体" w:asciiTheme="minorAscii" w:hAnsiTheme="minorAscii"/>
          <w:b w:val="0"/>
          <w:bCs/>
          <w:color w:val="auto"/>
          <w:kern w:val="2"/>
          <w:sz w:val="21"/>
          <w:szCs w:val="21"/>
          <w:highlight w:val="none"/>
          <w:lang w:val="en-US" w:eastAsia="zh-CN" w:bidi="ar-SA"/>
        </w:rPr>
        <w:t>比选申请人</w:t>
      </w:r>
      <w:r>
        <w:rPr>
          <w:rFonts w:hint="eastAsia" w:eastAsia="宋体" w:cs="宋体" w:asciiTheme="minorAscii" w:hAnsiTheme="minorAscii"/>
          <w:b w:val="0"/>
          <w:bCs/>
          <w:color w:val="auto"/>
          <w:kern w:val="2"/>
          <w:sz w:val="21"/>
          <w:szCs w:val="21"/>
          <w:highlight w:val="none"/>
          <w:lang w:val="en-US" w:eastAsia="zh-CN" w:bidi="ar-SA"/>
        </w:rPr>
        <w:t>应提供合格的监控系统相关技术服务：设备检修维护、故障排查</w:t>
      </w:r>
      <w:r>
        <w:rPr>
          <w:rFonts w:hint="eastAsia" w:eastAsia="宋体" w:cs="宋体" w:asciiTheme="minorAscii" w:hAnsiTheme="minorAscii"/>
          <w:b w:val="0"/>
          <w:bCs/>
          <w:color w:val="auto"/>
          <w:kern w:val="2"/>
          <w:sz w:val="21"/>
          <w:szCs w:val="21"/>
          <w:highlight w:val="none"/>
          <w:lang w:val="en-US" w:eastAsia="zh" w:bidi="ar-SA"/>
        </w:rPr>
        <w:t>、电缆铺设</w:t>
      </w:r>
      <w:r>
        <w:rPr>
          <w:rFonts w:hint="eastAsia" w:eastAsia="宋体" w:cs="宋体" w:asciiTheme="minorAscii" w:hAnsiTheme="minorAscii"/>
          <w:b w:val="0"/>
          <w:bCs/>
          <w:color w:val="auto"/>
          <w:kern w:val="2"/>
          <w:sz w:val="21"/>
          <w:szCs w:val="21"/>
          <w:highlight w:val="none"/>
          <w:lang w:val="en-US" w:eastAsia="zh-CN" w:bidi="ar-SA"/>
        </w:rPr>
        <w:t>（含线路挖埋、绿化）、光纤熔接、</w:t>
      </w:r>
      <w:r>
        <w:rPr>
          <w:rFonts w:hint="eastAsia" w:eastAsia="宋体" w:cs="宋体" w:asciiTheme="minorAscii" w:hAnsiTheme="minorAscii"/>
          <w:b w:val="0"/>
          <w:bCs/>
          <w:color w:val="auto"/>
          <w:kern w:val="2"/>
          <w:sz w:val="21"/>
          <w:szCs w:val="21"/>
          <w:highlight w:val="none"/>
          <w:lang w:val="en-US" w:eastAsia="zh" w:bidi="ar-SA"/>
        </w:rPr>
        <w:t>网线制作、</w:t>
      </w:r>
      <w:r>
        <w:rPr>
          <w:rFonts w:hint="eastAsia" w:eastAsia="宋体" w:cs="宋体" w:asciiTheme="minorAscii" w:hAnsiTheme="minorAscii"/>
          <w:b w:val="0"/>
          <w:bCs/>
          <w:color w:val="auto"/>
          <w:kern w:val="2"/>
          <w:sz w:val="21"/>
          <w:szCs w:val="21"/>
          <w:highlight w:val="none"/>
          <w:lang w:val="en-US" w:eastAsia="zh-CN" w:bidi="ar-SA"/>
        </w:rPr>
        <w:t>项目内包含的设备安装、</w:t>
      </w:r>
      <w:r>
        <w:rPr>
          <w:rFonts w:hint="eastAsia" w:eastAsia="宋体" w:cs="宋体" w:asciiTheme="minorAscii" w:hAnsiTheme="minorAscii"/>
          <w:b w:val="0"/>
          <w:bCs/>
          <w:color w:val="auto"/>
          <w:kern w:val="2"/>
          <w:sz w:val="21"/>
          <w:szCs w:val="21"/>
          <w:highlight w:val="none"/>
          <w:lang w:val="en-US" w:eastAsia="zh" w:bidi="ar-SA"/>
        </w:rPr>
        <w:t>更换、</w:t>
      </w:r>
      <w:r>
        <w:rPr>
          <w:rFonts w:hint="eastAsia" w:eastAsia="宋体" w:cs="宋体" w:asciiTheme="minorAscii" w:hAnsiTheme="minorAscii"/>
          <w:b w:val="0"/>
          <w:bCs/>
          <w:color w:val="auto"/>
          <w:kern w:val="2"/>
          <w:sz w:val="21"/>
          <w:szCs w:val="21"/>
          <w:highlight w:val="none"/>
          <w:lang w:val="en-US" w:eastAsia="zh-CN" w:bidi="ar-SA"/>
        </w:rPr>
        <w:t>系统调试并提供相关修复的辅材。</w:t>
      </w:r>
    </w:p>
    <w:p w14:paraId="4AC27659">
      <w:pPr>
        <w:keepNext w:val="0"/>
        <w:keepLines w:val="0"/>
        <w:pageBreakBefore w:val="0"/>
        <w:widowControl w:val="0"/>
        <w:numPr>
          <w:ilvl w:val="0"/>
          <w:numId w:val="1"/>
        </w:numPr>
        <w:kinsoku/>
        <w:wordWrap/>
        <w:overflowPunct/>
        <w:topLinePunct w:val="0"/>
        <w:autoSpaceDE/>
        <w:autoSpaceDN/>
        <w:bidi w:val="0"/>
        <w:adjustRightInd/>
        <w:snapToGrid/>
        <w:spacing w:before="235" w:beforeLines="75" w:line="360" w:lineRule="auto"/>
        <w:ind w:left="-420" w:firstLine="420"/>
        <w:textAlignment w:val="auto"/>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工程条款</w:t>
      </w:r>
      <w:bookmarkEnd w:id="23"/>
      <w:bookmarkStart w:id="24" w:name="_Toc503533206"/>
      <w:bookmarkStart w:id="25" w:name="_Toc260389263"/>
      <w:bookmarkStart w:id="26" w:name="_Toc24632"/>
    </w:p>
    <w:p w14:paraId="28410452">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CN"/>
        </w:rPr>
      </w:pPr>
      <w:r>
        <w:rPr>
          <w:rFonts w:hint="eastAsia" w:eastAsia="宋体" w:cs="Times New Roman"/>
          <w:highlight w:val="none"/>
          <w:lang w:val="en-US" w:eastAsia="zh-CN"/>
        </w:rPr>
        <w:t>5.1双方的责任和义务</w:t>
      </w:r>
      <w:bookmarkEnd w:id="24"/>
      <w:bookmarkEnd w:id="25"/>
      <w:bookmarkEnd w:id="26"/>
    </w:p>
    <w:p w14:paraId="17DEDC32">
      <w:pPr>
        <w:snapToGrid w:val="0"/>
        <w:spacing w:line="360" w:lineRule="auto"/>
        <w:outlineLvl w:val="2"/>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5.1.1</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的责任和义务</w:t>
      </w:r>
    </w:p>
    <w:p w14:paraId="4DDEF7C3">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审查</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的资质和</w:t>
      </w:r>
      <w:r>
        <w:rPr>
          <w:rFonts w:hint="eastAsia" w:asciiTheme="minorEastAsia" w:hAnsiTheme="minorEastAsia" w:eastAsiaTheme="minorEastAsia" w:cstheme="minorEastAsia"/>
          <w:bCs/>
          <w:sz w:val="21"/>
          <w:szCs w:val="21"/>
          <w:highlight w:val="none"/>
        </w:rPr>
        <w:t>检查其安全、质量管理体系及实施情况。</w:t>
      </w:r>
    </w:p>
    <w:p w14:paraId="40AB34BA">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kern w:val="2"/>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负责对</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设备检修管理工作的</w:t>
      </w:r>
      <w:r>
        <w:rPr>
          <w:rFonts w:hint="eastAsia" w:ascii="宋体" w:hAnsi="宋体" w:eastAsia="宋体" w:cs="宋体"/>
          <w:bCs/>
          <w:kern w:val="2"/>
          <w:sz w:val="21"/>
          <w:szCs w:val="21"/>
          <w:highlight w:val="none"/>
          <w:lang w:val="en-US" w:eastAsia="zh-CN" w:bidi="ar"/>
        </w:rPr>
        <w:t>质量、进度、安全生产、文明施工、环境保护进行检查、指导、监督、考核、验收，有权对不合格或不符合提出整改和返工要求。</w:t>
      </w:r>
    </w:p>
    <w:p w14:paraId="4962926C">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负责制定并提供相关技术资料。</w:t>
      </w:r>
    </w:p>
    <w:p w14:paraId="7B560CFA">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审核</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提供的检修进度计划、技术方案、作业指导书。</w:t>
      </w:r>
    </w:p>
    <w:p w14:paraId="712BF1EF">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提供检修计划并及时组织验收。</w:t>
      </w:r>
    </w:p>
    <w:p w14:paraId="5BB65751">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6</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负责工作票、动火票的签发。</w:t>
      </w:r>
    </w:p>
    <w:p w14:paraId="2F71E4A7">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8</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提供由</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负责的备品备件、材料和专用工具（并由</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派员领料、搬运）。</w:t>
      </w:r>
    </w:p>
    <w:p w14:paraId="441C488F">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9</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 xml:space="preserve"> </w:t>
      </w:r>
      <w:r>
        <w:rPr>
          <w:rFonts w:hint="eastAsia" w:asciiTheme="minorEastAsia" w:hAnsiTheme="minorEastAsia" w:eastAsiaTheme="minorEastAsia" w:cstheme="minorEastAsia"/>
          <w:bCs/>
          <w:sz w:val="21"/>
          <w:szCs w:val="21"/>
          <w:highlight w:val="none"/>
        </w:rPr>
        <w:t>工作中如需与其他专业、部门、单位进行协调时，由</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负责联系、协调。</w:t>
      </w:r>
    </w:p>
    <w:p w14:paraId="64FB2D37">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10</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 xml:space="preserve"> </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有权撤换</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中不能胜任工作或玩忽职守的人员，并不得重返生产现场，由此造成的后果</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自负。</w:t>
      </w:r>
    </w:p>
    <w:p w14:paraId="24B2791F">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（11）有权全程监督跟踪</w:t>
      </w:r>
      <w:r>
        <w:rPr>
          <w:rFonts w:hint="eastAsia" w:ascii="宋体" w:hAnsi="宋体" w:cs="宋体"/>
          <w:bCs/>
          <w:kern w:val="2"/>
          <w:sz w:val="21"/>
          <w:szCs w:val="21"/>
          <w:highlight w:val="none"/>
          <w:lang w:val="en-US" w:eastAsia="zh-CN" w:bidi="ar"/>
        </w:rPr>
        <w:t>比选申请人</w:t>
      </w:r>
      <w:r>
        <w:rPr>
          <w:rFonts w:hint="eastAsia" w:ascii="宋体" w:hAnsi="宋体" w:eastAsia="宋体" w:cs="宋体"/>
          <w:bCs/>
          <w:kern w:val="2"/>
          <w:sz w:val="21"/>
          <w:szCs w:val="21"/>
          <w:highlight w:val="none"/>
          <w:lang w:val="en-US" w:eastAsia="zh-CN" w:bidi="ar"/>
        </w:rPr>
        <w:t>危险废物处置情况。</w:t>
      </w:r>
    </w:p>
    <w:p w14:paraId="1845F752">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（12） 定期对</w:t>
      </w:r>
      <w:r>
        <w:rPr>
          <w:rFonts w:hint="eastAsia" w:ascii="宋体" w:hAnsi="宋体" w:cs="宋体"/>
          <w:bCs/>
          <w:kern w:val="2"/>
          <w:sz w:val="21"/>
          <w:szCs w:val="21"/>
          <w:highlight w:val="none"/>
          <w:lang w:val="en-US" w:eastAsia="zh-CN" w:bidi="ar"/>
        </w:rPr>
        <w:t>比选申请人</w:t>
      </w:r>
      <w:r>
        <w:rPr>
          <w:rFonts w:hint="eastAsia" w:ascii="宋体" w:hAnsi="宋体" w:eastAsia="宋体" w:cs="宋体"/>
          <w:bCs/>
          <w:kern w:val="2"/>
          <w:sz w:val="21"/>
          <w:szCs w:val="21"/>
          <w:highlight w:val="none"/>
          <w:lang w:val="en-US" w:eastAsia="zh-CN" w:bidi="ar"/>
        </w:rPr>
        <w:t>的维护及检修工作进行考评，依据考评结果按</w:t>
      </w:r>
      <w:r>
        <w:rPr>
          <w:rFonts w:hint="eastAsia" w:ascii="宋体" w:hAnsi="宋体" w:cs="宋体"/>
          <w:bCs/>
          <w:kern w:val="2"/>
          <w:sz w:val="21"/>
          <w:szCs w:val="21"/>
          <w:highlight w:val="none"/>
          <w:lang w:val="en-US" w:eastAsia="zh-CN" w:bidi="ar"/>
        </w:rPr>
        <w:t>比选人</w:t>
      </w:r>
      <w:r>
        <w:rPr>
          <w:rFonts w:hint="eastAsia" w:ascii="宋体" w:hAnsi="宋体" w:eastAsia="宋体" w:cs="宋体"/>
          <w:bCs/>
          <w:kern w:val="2"/>
          <w:sz w:val="21"/>
          <w:szCs w:val="21"/>
          <w:highlight w:val="none"/>
          <w:lang w:val="en-US" w:eastAsia="zh-CN" w:bidi="ar"/>
        </w:rPr>
        <w:t>相关规定进行相应的考核和奖励。</w:t>
      </w:r>
    </w:p>
    <w:p w14:paraId="37192114">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（13） 如发生紧急或重大事项情况下，</w:t>
      </w:r>
      <w:r>
        <w:rPr>
          <w:rFonts w:hint="eastAsia" w:ascii="宋体" w:hAnsi="宋体" w:cs="宋体"/>
          <w:bCs/>
          <w:kern w:val="2"/>
          <w:sz w:val="21"/>
          <w:szCs w:val="21"/>
          <w:highlight w:val="none"/>
          <w:lang w:val="en-US" w:eastAsia="zh-CN" w:bidi="ar"/>
        </w:rPr>
        <w:t>比选申请人</w:t>
      </w:r>
      <w:r>
        <w:rPr>
          <w:rFonts w:hint="eastAsia" w:ascii="宋体" w:hAnsi="宋体" w:eastAsia="宋体" w:cs="宋体"/>
          <w:bCs/>
          <w:kern w:val="2"/>
          <w:sz w:val="21"/>
          <w:szCs w:val="21"/>
          <w:highlight w:val="none"/>
          <w:lang w:val="en-US" w:eastAsia="zh-CN" w:bidi="ar"/>
        </w:rPr>
        <w:t>因技术力量不足或准备不充分等因素而无法处理或耽误现场工作等，</w:t>
      </w:r>
      <w:r>
        <w:rPr>
          <w:rFonts w:hint="eastAsia" w:ascii="宋体" w:hAnsi="宋体" w:cs="宋体"/>
          <w:bCs/>
          <w:kern w:val="2"/>
          <w:sz w:val="21"/>
          <w:szCs w:val="21"/>
          <w:highlight w:val="none"/>
          <w:lang w:val="en-US" w:eastAsia="zh-CN" w:bidi="ar"/>
        </w:rPr>
        <w:t>比选人</w:t>
      </w:r>
      <w:r>
        <w:rPr>
          <w:rFonts w:hint="eastAsia" w:ascii="宋体" w:hAnsi="宋体" w:eastAsia="宋体" w:cs="宋体"/>
          <w:bCs/>
          <w:kern w:val="2"/>
          <w:sz w:val="21"/>
          <w:szCs w:val="21"/>
          <w:highlight w:val="none"/>
          <w:lang w:val="en-US" w:eastAsia="zh-CN" w:bidi="ar"/>
        </w:rPr>
        <w:t>有权委托其它施工队伍进行紧急处理，</w:t>
      </w:r>
      <w:r>
        <w:rPr>
          <w:rFonts w:hint="eastAsia" w:ascii="宋体" w:hAnsi="宋体" w:cs="宋体"/>
          <w:bCs/>
          <w:kern w:val="2"/>
          <w:sz w:val="21"/>
          <w:szCs w:val="21"/>
          <w:highlight w:val="none"/>
          <w:lang w:val="en-US" w:eastAsia="zh-CN" w:bidi="ar"/>
        </w:rPr>
        <w:t>比选申请人</w:t>
      </w:r>
      <w:r>
        <w:rPr>
          <w:rFonts w:hint="eastAsia" w:ascii="宋体" w:hAnsi="宋体" w:eastAsia="宋体" w:cs="宋体"/>
          <w:bCs/>
          <w:kern w:val="2"/>
          <w:sz w:val="21"/>
          <w:szCs w:val="21"/>
          <w:highlight w:val="none"/>
          <w:lang w:val="en-US" w:eastAsia="zh-CN" w:bidi="ar"/>
        </w:rPr>
        <w:t>应担负全部委托费用及由此造成的损失。</w:t>
      </w:r>
    </w:p>
    <w:p w14:paraId="5EECA7B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（14） 负责</w:t>
      </w:r>
      <w:r>
        <w:rPr>
          <w:rFonts w:hint="default" w:ascii="var(--s-font-base)" w:hAnsi="var(--s-font-base)" w:eastAsia="var(--s-font-base)" w:cs="var(--s-font-base)"/>
          <w:kern w:val="2"/>
          <w:sz w:val="21"/>
          <w:szCs w:val="21"/>
          <w:highlight w:val="none"/>
          <w:lang w:val="en-US" w:eastAsia="zh-CN" w:bidi="ar"/>
        </w:rPr>
        <w:t>建立完善的用户权限管理体系，对系统的操作人员进行严格的权限划分。根据不同人员的工作职责和需求，分配相应的操作权限，如查看视频、回放录像、设置设备参数、管理用户信息等。定期对用户权限进行审查和更新，确保用户权限的合理性和安全性，防止因权限滥用导致数据泄露和系统安全事故</w:t>
      </w:r>
      <w:r>
        <w:rPr>
          <w:rFonts w:hint="eastAsia" w:ascii="宋体" w:hAnsi="宋体" w:eastAsia="宋体" w:cs="宋体"/>
          <w:kern w:val="2"/>
          <w:sz w:val="21"/>
          <w:szCs w:val="21"/>
          <w:highlight w:val="none"/>
          <w:lang w:val="en-US" w:eastAsia="zh-CN" w:bidi="ar"/>
        </w:rPr>
        <w:t>。</w:t>
      </w:r>
    </w:p>
    <w:p w14:paraId="5699D2FE">
      <w:pPr>
        <w:snapToGrid w:val="0"/>
        <w:spacing w:line="360" w:lineRule="auto"/>
        <w:outlineLvl w:val="2"/>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5.1.2</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的责任和义务</w:t>
      </w:r>
    </w:p>
    <w:p w14:paraId="6B24AD15">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严格遵守、执行</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的各项规章制度，接受</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依照相关考核办法及规章制度进行的考核。</w:t>
      </w:r>
    </w:p>
    <w:p w14:paraId="0D828EC4">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必须熟悉和执行</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的管理系统及管理模式。</w:t>
      </w:r>
    </w:p>
    <w:p w14:paraId="43D9764B">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应根据</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的需要，在现场设立完善的组织管理机构，并服从</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的生产指挥管理。</w:t>
      </w:r>
    </w:p>
    <w:p w14:paraId="39A3A8F3">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应根据合同对设备进行检修和</w:t>
      </w:r>
      <w:r>
        <w:rPr>
          <w:rFonts w:hint="eastAsia" w:asciiTheme="minorEastAsia" w:hAnsiTheme="minorEastAsia" w:eastAsiaTheme="minorEastAsia" w:cstheme="minorEastAsia"/>
          <w:bCs/>
          <w:sz w:val="21"/>
          <w:szCs w:val="21"/>
          <w:highlight w:val="none"/>
          <w:lang w:val="en-US" w:eastAsia="zh-CN"/>
        </w:rPr>
        <w:t>试验</w:t>
      </w:r>
      <w:r>
        <w:rPr>
          <w:rFonts w:hint="eastAsia" w:asciiTheme="minorEastAsia" w:hAnsiTheme="minorEastAsia" w:eastAsiaTheme="minorEastAsia" w:cstheme="minorEastAsia"/>
          <w:bCs/>
          <w:sz w:val="21"/>
          <w:szCs w:val="21"/>
          <w:highlight w:val="none"/>
        </w:rPr>
        <w:t>。</w:t>
      </w:r>
    </w:p>
    <w:p w14:paraId="287F43B7">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必须遵守《电业安全工作规程》和</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安全生产有关规定。</w:t>
      </w:r>
    </w:p>
    <w:p w14:paraId="389846E5">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6</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应积极主动接受</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对检修、设备管理工作的检查、指导、监督与考核。</w:t>
      </w:r>
    </w:p>
    <w:p w14:paraId="06F5AE5A">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7</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应将设备检修过程中发现的任何错误、遗漏、误差和缺陷及时以书面形式通知</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生产管理人员。</w:t>
      </w:r>
    </w:p>
    <w:p w14:paraId="6E5859F6">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8</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应提供为完成检修任务所必需的劳务、工器具、车辆、劳动保护用品及其它物品。</w:t>
      </w:r>
    </w:p>
    <w:p w14:paraId="640B0D80">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9</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应根据承包项目的具体要求、特点和性质，</w:t>
      </w:r>
      <w:r>
        <w:rPr>
          <w:rFonts w:hint="eastAsia" w:ascii="宋体" w:hAnsi="宋体" w:eastAsia="宋体" w:cs="宋体"/>
          <w:bCs/>
          <w:kern w:val="2"/>
          <w:sz w:val="21"/>
          <w:szCs w:val="21"/>
          <w:highlight w:val="none"/>
          <w:lang w:val="en-US" w:eastAsia="zh-CN" w:bidi="ar"/>
        </w:rPr>
        <w:t>了解</w:t>
      </w:r>
      <w:r>
        <w:rPr>
          <w:rFonts w:hint="eastAsia" w:ascii="宋体" w:hAnsi="宋体" w:eastAsia="宋体" w:cs="宋体"/>
          <w:bCs/>
          <w:kern w:val="2"/>
          <w:sz w:val="21"/>
          <w:szCs w:val="21"/>
          <w:highlight w:val="none"/>
          <w:lang w:val="en-US" w:eastAsia="zh" w:bidi="ar"/>
        </w:rPr>
        <w:t>项目范围内</w:t>
      </w:r>
      <w:r>
        <w:rPr>
          <w:rFonts w:hint="eastAsia" w:ascii="宋体" w:hAnsi="宋体" w:eastAsia="宋体" w:cs="宋体"/>
          <w:kern w:val="2"/>
          <w:sz w:val="21"/>
          <w:szCs w:val="21"/>
          <w:highlight w:val="none"/>
          <w:lang w:val="en-US" w:eastAsia="zh-CN" w:bidi="ar"/>
        </w:rPr>
        <w:t>设备的设计，熟悉其结构及性能，</w:t>
      </w:r>
      <w:r>
        <w:rPr>
          <w:rFonts w:hint="eastAsia" w:asciiTheme="minorEastAsia" w:hAnsiTheme="minorEastAsia" w:eastAsiaTheme="minorEastAsia" w:cstheme="minorEastAsia"/>
          <w:bCs/>
          <w:sz w:val="21"/>
          <w:szCs w:val="21"/>
          <w:highlight w:val="none"/>
        </w:rPr>
        <w:t>选送合格的人员担任工作。特殊工种必须持证上岗。检修中所需的配合工种由</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负责解决。</w:t>
      </w:r>
    </w:p>
    <w:p w14:paraId="70CF3E68">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10</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必须配备专业技术工人，</w:t>
      </w:r>
      <w:r>
        <w:rPr>
          <w:rFonts w:hint="eastAsia" w:ascii="宋体" w:hAnsi="宋体" w:eastAsia="宋体" w:cs="宋体"/>
          <w:kern w:val="2"/>
          <w:sz w:val="21"/>
          <w:szCs w:val="21"/>
          <w:highlight w:val="none"/>
          <w:lang w:val="en-US" w:eastAsia="zh-CN" w:bidi="ar"/>
        </w:rPr>
        <w:t>有较强的责任感和事业心</w:t>
      </w:r>
      <w:r>
        <w:rPr>
          <w:rFonts w:hint="eastAsia" w:ascii="宋体" w:hAnsi="宋体" w:eastAsia="宋体" w:cs="宋体"/>
          <w:kern w:val="2"/>
          <w:sz w:val="21"/>
          <w:szCs w:val="21"/>
          <w:highlight w:val="none"/>
          <w:lang w:val="en-US" w:eastAsia="zh" w:bidi="ar"/>
        </w:rPr>
        <w:t>，</w:t>
      </w:r>
      <w:r>
        <w:rPr>
          <w:rFonts w:hint="eastAsia" w:asciiTheme="minorEastAsia" w:hAnsiTheme="minorEastAsia" w:eastAsiaTheme="minorEastAsia" w:cstheme="minorEastAsia"/>
          <w:bCs/>
          <w:sz w:val="21"/>
          <w:szCs w:val="21"/>
          <w:highlight w:val="none"/>
        </w:rPr>
        <w:t>并根据</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的要求到位。</w:t>
      </w:r>
    </w:p>
    <w:p w14:paraId="32F17809">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11</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的工作人员名单经双方协商。</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须与</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安监主管部门</w:t>
      </w:r>
      <w:r>
        <w:rPr>
          <w:rFonts w:hint="eastAsia" w:asciiTheme="minorEastAsia" w:hAnsiTheme="minorEastAsia" w:eastAsiaTheme="minorEastAsia" w:cstheme="minorEastAsia"/>
          <w:bCs/>
          <w:sz w:val="21"/>
          <w:szCs w:val="21"/>
          <w:highlight w:val="none"/>
        </w:rPr>
        <w:t>签订安全协议，进入现场前所有人员必须通过</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安监主管部门安全培训，并考试合格。</w:t>
      </w:r>
    </w:p>
    <w:p w14:paraId="6EF14599">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向</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生产管理部门专业主管汇报工作情况。</w:t>
      </w:r>
    </w:p>
    <w:p w14:paraId="34254F0D">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13</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检修工作由</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负责办理工作票、动火工作票。</w:t>
      </w:r>
    </w:p>
    <w:p w14:paraId="1E591B48">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检修工作结束后，</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应按照</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的要求作好各种资料的记录和整理。</w:t>
      </w:r>
    </w:p>
    <w:p w14:paraId="6E783718">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15</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在任何形式的检修工作中，凡由</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造成的设备损坏及人身伤亡事故均由</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负责。</w:t>
      </w:r>
    </w:p>
    <w:p w14:paraId="4C71376A">
      <w:pPr>
        <w:snapToGrid w:val="0"/>
        <w:spacing w:line="360" w:lineRule="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16</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应针对</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设备、系统的具体情况，制定应急预案、技术方案等，并经</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审批后执行。</w:t>
      </w:r>
    </w:p>
    <w:p w14:paraId="47772173">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17</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比选申请人不得以任何方式篡改上位机内各参数、擅自增加或删除内部数据，如需修改或重新配置系统参数必须通知比选人，由比选人人员执行。</w:t>
      </w:r>
    </w:p>
    <w:p w14:paraId="4B102605">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（18）在维护服务结束时，向比选人或比选人指定的第三方办理移交手续，交还的设备及工器具须经比选人验收合格、无损坏、无缺陷；并应向比选人移交改进后的图纸、资料等。</w:t>
      </w:r>
    </w:p>
    <w:p w14:paraId="47510EB5">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bCs/>
          <w:sz w:val="21"/>
          <w:szCs w:val="21"/>
          <w:highlight w:val="none"/>
          <w:lang w:val="en-US" w:eastAsia="zh-CN"/>
        </w:rPr>
        <w:t>（19）根据合同约定和项目需求，提供完成检修维护工作所必需的人员、材料、工器具、劳动防护用品和其他物资，保证工作任务及人员满足工期要求。</w:t>
      </w:r>
    </w:p>
    <w:p w14:paraId="3D412BE9">
      <w:pPr>
        <w:keepNext w:val="0"/>
        <w:keepLines w:val="0"/>
        <w:widowControl w:val="0"/>
        <w:suppressLineNumbers w:val="0"/>
        <w:snapToGrid w:val="0"/>
        <w:spacing w:before="0" w:beforeAutospacing="0" w:after="0" w:afterAutospacing="0" w:line="360" w:lineRule="auto"/>
        <w:ind w:left="0" w:right="0"/>
        <w:jc w:val="both"/>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（20）按时足额支付维护人员工资并依法承担相关费用，按照法律规定为维护人员交纳工伤保险等相应的保险。</w:t>
      </w:r>
    </w:p>
    <w:p w14:paraId="229B008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highlight w:val="none"/>
        </w:rPr>
      </w:pPr>
      <w:bookmarkStart w:id="27" w:name="_Toc22611"/>
      <w:bookmarkStart w:id="28" w:name="_Toc503533207"/>
      <w:bookmarkStart w:id="29" w:name="_Toc260389831"/>
      <w:bookmarkStart w:id="30" w:name="_Toc260389264"/>
      <w:r>
        <w:rPr>
          <w:rFonts w:hint="eastAsia"/>
          <w:highlight w:val="none"/>
          <w:lang w:val="en-US" w:eastAsia="zh-CN"/>
        </w:rPr>
        <w:t>5</w:t>
      </w:r>
      <w:r>
        <w:rPr>
          <w:rFonts w:hint="eastAsia"/>
          <w:highlight w:val="none"/>
        </w:rPr>
        <w:t>.2  检修、维护进度</w:t>
      </w:r>
      <w:r>
        <w:rPr>
          <w:rFonts w:hint="eastAsia"/>
          <w:highlight w:val="none"/>
          <w:lang w:eastAsia="zh-CN"/>
        </w:rPr>
        <w:t>，</w:t>
      </w:r>
      <w:r>
        <w:rPr>
          <w:rFonts w:hint="eastAsia"/>
          <w:highlight w:val="none"/>
        </w:rPr>
        <w:t>质量、安全考核</w:t>
      </w:r>
      <w:bookmarkEnd w:id="27"/>
      <w:bookmarkEnd w:id="28"/>
      <w:bookmarkEnd w:id="29"/>
    </w:p>
    <w:p w14:paraId="70B513AA">
      <w:pPr>
        <w:snapToGrid w:val="0"/>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须严格执行检修作业文件、检修质量验收标、检修安全管理标准等要求。对违反规定的，</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将严格考核，考核细则</w:t>
      </w:r>
      <w:r>
        <w:rPr>
          <w:rFonts w:hint="eastAsia" w:asciiTheme="minorEastAsia" w:hAnsiTheme="minorEastAsia" w:eastAsiaTheme="minorEastAsia" w:cstheme="minorEastAsia"/>
          <w:bCs/>
          <w:sz w:val="21"/>
          <w:szCs w:val="21"/>
          <w:highlight w:val="none"/>
          <w:lang w:val="en-US" w:eastAsia="zh-CN"/>
        </w:rPr>
        <w:t>如附件1</w:t>
      </w:r>
      <w:r>
        <w:rPr>
          <w:rFonts w:hint="eastAsia" w:asciiTheme="minorEastAsia" w:hAnsiTheme="minorEastAsia" w:eastAsiaTheme="minorEastAsia" w:cstheme="minorEastAsia"/>
          <w:bCs/>
          <w:sz w:val="21"/>
          <w:szCs w:val="21"/>
          <w:highlight w:val="none"/>
        </w:rPr>
        <w:t>。</w:t>
      </w:r>
    </w:p>
    <w:p w14:paraId="3DD5BDAD">
      <w:pPr>
        <w:snapToGrid w:val="0"/>
        <w:spacing w:line="360" w:lineRule="auto"/>
        <w:ind w:firstLine="420" w:firstLineChars="2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考核细则不代替合同相关内容，如与合同相关条款抵触，以合同为准。</w:t>
      </w:r>
    </w:p>
    <w:bookmarkEnd w:id="30"/>
    <w:p w14:paraId="564910D2">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highlight w:val="none"/>
          <w:lang w:val="en-US" w:eastAsia="zh-CN"/>
        </w:rPr>
      </w:pPr>
      <w:bookmarkStart w:id="31" w:name="_Toc14832"/>
      <w:bookmarkStart w:id="32" w:name="_Toc260389265"/>
      <w:bookmarkStart w:id="33" w:name="_Toc503533208"/>
      <w:r>
        <w:rPr>
          <w:rFonts w:hint="eastAsia" w:eastAsia="宋体" w:cs="Times New Roman"/>
          <w:highlight w:val="none"/>
          <w:lang w:val="en-US" w:eastAsia="zh-CN"/>
        </w:rPr>
        <w:t>5.3  现场作业基本要求</w:t>
      </w:r>
      <w:bookmarkEnd w:id="31"/>
      <w:bookmarkEnd w:id="32"/>
      <w:bookmarkEnd w:id="33"/>
    </w:p>
    <w:p w14:paraId="321E5BF9">
      <w:pPr>
        <w:snapToGrid w:val="0"/>
        <w:spacing w:line="360" w:lineRule="auto"/>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 xml:space="preserve">5.3.1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在现场人员的数量和素质，应能满足现场设备检修和参与设备技术监督管理的需要，人员必须保持稳定。</w:t>
      </w:r>
      <w:r>
        <w:rPr>
          <w:rFonts w:hint="eastAsia" w:asciiTheme="minorEastAsia" w:hAnsiTheme="minorEastAsia" w:eastAsiaTheme="minorEastAsia" w:cstheme="minorEastAsia"/>
          <w:sz w:val="21"/>
          <w:szCs w:val="21"/>
          <w:highlight w:val="none"/>
        </w:rPr>
        <w:t>节假日现场应留有足够的值班人员。如果维护人员数量及维护技能不能满足现场消缺和维修要求，由维护单位自己组织解决。</w:t>
      </w:r>
    </w:p>
    <w:p w14:paraId="610E15C1">
      <w:pPr>
        <w:snapToGrid w:val="0"/>
        <w:spacing w:line="360" w:lineRule="auto"/>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5.3.2</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应严格遵守与执行</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生产管理人员就有关该项工程任何事项所发出的指令，无论这些事项在合同中写明与否。</w:t>
      </w:r>
    </w:p>
    <w:p w14:paraId="79318AD6">
      <w:pPr>
        <w:snapToGrid w:val="0"/>
        <w:spacing w:line="360" w:lineRule="auto"/>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5.3.3</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作为设备检修责任人应熟悉包括设备检修质量验收在内的各种工作流程。</w:t>
      </w:r>
    </w:p>
    <w:p w14:paraId="150767CD">
      <w:pPr>
        <w:snapToGrid w:val="0"/>
        <w:spacing w:line="360" w:lineRule="auto"/>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5.3.4</w:t>
      </w:r>
      <w:r>
        <w:rPr>
          <w:rFonts w:hint="eastAsia" w:asciiTheme="minorEastAsia" w:hAnsiTheme="minorEastAsia" w:eastAsiaTheme="minorEastAsia" w:cstheme="minorEastAsia"/>
          <w:bCs/>
          <w:sz w:val="21"/>
          <w:szCs w:val="21"/>
          <w:highlight w:val="none"/>
        </w:rPr>
        <w:t xml:space="preserve">  除因法律或实际上不可能做到的情况外，</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应严格按合同完成工程，现场设备应保持“安全文明达标”的设备标准。</w:t>
      </w:r>
    </w:p>
    <w:p w14:paraId="40B5224C">
      <w:pPr>
        <w:snapToGrid w:val="0"/>
        <w:spacing w:line="360" w:lineRule="auto"/>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highlight w:val="none"/>
          <w:lang w:val="en-US" w:eastAsia="zh-CN" w:bidi="ar-SA"/>
        </w:rPr>
        <w:t>5.3.5</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在现场的检修管理和技术人员名单应与</w:t>
      </w:r>
      <w:r>
        <w:rPr>
          <w:rFonts w:hint="eastAsia" w:asciiTheme="minorEastAsia" w:hAnsiTheme="minorEastAsia" w:eastAsiaTheme="minorEastAsia" w:cstheme="minorEastAsia"/>
          <w:bCs/>
          <w:sz w:val="21"/>
          <w:szCs w:val="21"/>
          <w:highlight w:val="none"/>
          <w:lang w:eastAsia="zh-CN"/>
        </w:rPr>
        <w:t>比选申请文件</w:t>
      </w:r>
      <w:r>
        <w:rPr>
          <w:rFonts w:hint="eastAsia" w:asciiTheme="minorEastAsia" w:hAnsiTheme="minorEastAsia" w:eastAsiaTheme="minorEastAsia" w:cstheme="minorEastAsia"/>
          <w:bCs/>
          <w:sz w:val="21"/>
          <w:szCs w:val="21"/>
          <w:highlight w:val="none"/>
        </w:rPr>
        <w:t>中的名单相符，并能长驻现场。任何情况下的人员变动都应提前通知</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生产管理部门，并需征得</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同意。</w:t>
      </w:r>
    </w:p>
    <w:p w14:paraId="5BB6779C">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highlight w:val="none"/>
          <w:lang w:val="en-US" w:eastAsia="zh-CN" w:bidi="ar-SA"/>
        </w:rPr>
        <w:t>5.3.6</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在现场的主要机具设备仪器应与</w:t>
      </w:r>
      <w:r>
        <w:rPr>
          <w:rFonts w:hint="eastAsia" w:asciiTheme="minorEastAsia" w:hAnsiTheme="minorEastAsia" w:eastAsiaTheme="minorEastAsia" w:cstheme="minorEastAsia"/>
          <w:bCs/>
          <w:sz w:val="21"/>
          <w:szCs w:val="21"/>
          <w:highlight w:val="none"/>
          <w:lang w:eastAsia="zh-CN"/>
        </w:rPr>
        <w:t>比选</w:t>
      </w:r>
      <w:bookmarkEnd w:id="55"/>
      <w:r>
        <w:rPr>
          <w:rFonts w:hint="eastAsia" w:asciiTheme="minorEastAsia" w:hAnsiTheme="minorEastAsia" w:eastAsiaTheme="minorEastAsia" w:cstheme="minorEastAsia"/>
          <w:bCs/>
          <w:sz w:val="21"/>
          <w:szCs w:val="21"/>
          <w:lang w:eastAsia="zh-CN"/>
        </w:rPr>
        <w:t>申请文件</w:t>
      </w:r>
      <w:r>
        <w:rPr>
          <w:rFonts w:hint="eastAsia" w:asciiTheme="minorEastAsia" w:hAnsiTheme="minorEastAsia" w:eastAsiaTheme="minorEastAsia" w:cstheme="minorEastAsia"/>
          <w:bCs/>
          <w:sz w:val="21"/>
          <w:szCs w:val="21"/>
        </w:rPr>
        <w:t>中计划用于本工程的机具设备仪器清单相符，任何情况下的变动都应提前通知</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，并需征得</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的同意，否则按</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考核标准执行。</w:t>
      </w:r>
    </w:p>
    <w:p w14:paraId="444F9185">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5.3.7</w:t>
      </w:r>
      <w:r>
        <w:rPr>
          <w:rFonts w:hint="eastAsia" w:asciiTheme="minorEastAsia" w:hAnsiTheme="minorEastAsia" w:eastAsiaTheme="minorEastAsia" w:cstheme="minorEastAsia"/>
          <w:bCs/>
          <w:sz w:val="21"/>
          <w:szCs w:val="21"/>
        </w:rPr>
        <w:t xml:space="preserve">  严格执行</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的检修作业标准、技术标准、以及电力行业标准及厂家说明书。</w:t>
      </w:r>
    </w:p>
    <w:p w14:paraId="120281FE">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5.3.8</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应派驻具有合格上岗能力的设备检修人员。</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负责上岗人员安全与技术培训，经实际生产技能及安全培训、考试合格后方能上岗。</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管理模式和人员组织机构需报</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备案并得到</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同意，不得随意更改。</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有权要求</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更换不合格人员。</w:t>
      </w:r>
    </w:p>
    <w:p w14:paraId="7EF436D1">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5.3.9</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负责管理派驻人员的思想、生活及其他方面的问题。无特殊原因不得随意更换人员。若必须更换人员，须征得</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同意，新进人员经培训、考试合格后方能更换。</w:t>
      </w:r>
    </w:p>
    <w:p w14:paraId="0E00E1D7">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5.3.10</w:t>
      </w:r>
      <w:r>
        <w:rPr>
          <w:rFonts w:hint="eastAsia" w:asciiTheme="minorEastAsia" w:hAnsiTheme="minorEastAsia" w:eastAsiaTheme="minorEastAsia" w:cstheme="minorEastAsia"/>
          <w:bCs/>
          <w:sz w:val="21"/>
          <w:szCs w:val="21"/>
        </w:rPr>
        <w:t xml:space="preserve">  若</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因技术原因或违反检修规程而造成检修质量不合格、返工、设备损坏事故等，或不听从</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工作安排和指挥的，由</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根据川南发电和国家相关规定进行考核和处罚。</w:t>
      </w:r>
    </w:p>
    <w:p w14:paraId="41C872D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lang w:val="en-US" w:eastAsia="zh-CN"/>
        </w:rPr>
      </w:pPr>
      <w:bookmarkStart w:id="34" w:name="_Toc503533209"/>
      <w:bookmarkStart w:id="35" w:name="_Toc9788"/>
      <w:bookmarkStart w:id="36" w:name="_Toc260389266"/>
      <w:r>
        <w:rPr>
          <w:rFonts w:hint="eastAsia" w:eastAsia="宋体" w:cs="Times New Roman"/>
          <w:lang w:val="en-US" w:eastAsia="zh-CN"/>
        </w:rPr>
        <w:t>5.4  现场安全管理</w:t>
      </w:r>
      <w:bookmarkEnd w:id="34"/>
      <w:bookmarkEnd w:id="35"/>
      <w:bookmarkEnd w:id="36"/>
    </w:p>
    <w:p w14:paraId="35353E21">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5.4.1</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必须坚决贯彻执行国家及设备工程所在地各级人民政府关于安全生产的一系列方针、政策、法规、条例和规定，必须采取一切必要措施和手段强化检修安全管理，提高安全检修水平，确定严格的安全检修秩序以保证现场人员和设备在检修工作中的安全与健康。</w:t>
      </w:r>
    </w:p>
    <w:p w14:paraId="6F156DD8">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5.4.2</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必须贯彻执行“安全第一、预防为主”的方针，严格执行国家电力公司《电业安全工作规程》、《安全生产工作规定》等和</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有关安全规章制度的规定。</w:t>
      </w:r>
    </w:p>
    <w:p w14:paraId="7F4C84EB">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5.4.3</w:t>
      </w:r>
      <w:r>
        <w:rPr>
          <w:rFonts w:hint="eastAsia" w:asciiTheme="minorEastAsia" w:hAnsiTheme="minorEastAsia" w:eastAsiaTheme="minorEastAsia" w:cstheme="minorEastAsia"/>
          <w:bCs/>
          <w:sz w:val="21"/>
          <w:szCs w:val="21"/>
        </w:rPr>
        <w:t xml:space="preserve">  由于</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人员违反有关安全工作的规程、规定或管理不到位、监管不到位，造成人员伤亡和设备设施损坏事故，责任完全由</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独立承担。</w:t>
      </w:r>
    </w:p>
    <w:p w14:paraId="0E6DEF3D">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5.4.4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的各级行政一把手是本单位的安全第一责任人，必须亲自抓安全，必须建立严密的安全监察网络和有效的安全保障体系。现场必须配备专职安全员，同时满足</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要求。</w:t>
      </w:r>
    </w:p>
    <w:p w14:paraId="7CAC93BE">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5.4.5</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要掌握</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检修工作票、动火工作票的工作流程，熟悉并掌握</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有关对工作负责人的考试上岗执行程序；检修工作票、动火工作票的工作负责人资格须经</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安全监察部通过考试确认，工作票执行中的相关事项依据国家电力公司和</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有关工作票的相关规定执行。</w:t>
      </w:r>
    </w:p>
    <w:p w14:paraId="23E70ED2">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5.4.6</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在本合同开始履行前，应按照</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要求组织其人员认真听取</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安监管理人员的安全技术交底，制定出检修工作安全技术措施和防火防盗措施，经</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安监管理人员审核批准后方可开工。</w:t>
      </w:r>
    </w:p>
    <w:p w14:paraId="7A98ED7E">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5.4.7</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人员在现场检修工作过程中，应接受</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安全各项考核制度和管理人员的安全监督。</w:t>
      </w:r>
    </w:p>
    <w:p w14:paraId="165F1405">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5.4.</w:t>
      </w:r>
      <w:r>
        <w:rPr>
          <w:rFonts w:hint="eastAsia" w:cs="宋体" w:asciiTheme="minorAscii" w:hAnsiTheme="minorAscii"/>
          <w:b w:val="0"/>
          <w:bCs/>
          <w:color w:val="auto"/>
          <w:kern w:val="2"/>
          <w:sz w:val="21"/>
          <w:szCs w:val="21"/>
          <w:lang w:val="en-US" w:eastAsia="zh-CN" w:bidi="ar-SA"/>
        </w:rPr>
        <w:t>8</w:t>
      </w:r>
      <w:r>
        <w:rPr>
          <w:rFonts w:hint="eastAsia" w:asciiTheme="minorEastAsia" w:hAnsiTheme="minorEastAsia" w:eastAsiaTheme="minorEastAsia" w:cstheme="minorEastAsia"/>
          <w:bCs/>
          <w:sz w:val="21"/>
          <w:szCs w:val="21"/>
        </w:rPr>
        <w:t>由于</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人员违反有关国家电力环保的规程、规定或管理不到位、监管不到位，造成环境污染事故，责任完全由</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独立承担。</w:t>
      </w:r>
    </w:p>
    <w:p w14:paraId="127D223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lang w:val="en-US" w:eastAsia="zh-CN"/>
        </w:rPr>
      </w:pPr>
      <w:bookmarkStart w:id="37" w:name="_Toc260389267"/>
      <w:bookmarkStart w:id="38" w:name="_Toc503533210"/>
      <w:bookmarkStart w:id="39" w:name="_Toc8478"/>
      <w:r>
        <w:rPr>
          <w:rFonts w:hint="eastAsia" w:eastAsia="宋体" w:cs="Times New Roman"/>
          <w:lang w:val="en-US" w:eastAsia="zh-CN"/>
        </w:rPr>
        <w:t>5.5  现场文明生产要求</w:t>
      </w:r>
      <w:bookmarkEnd w:id="37"/>
      <w:bookmarkEnd w:id="38"/>
      <w:bookmarkEnd w:id="39"/>
    </w:p>
    <w:p w14:paraId="2AA2D844">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5.5.1</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在现场应遵守</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有关文明生产的文件、规定和考核办法。</w:t>
      </w:r>
    </w:p>
    <w:p w14:paraId="5955F047">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5.5.2</w:t>
      </w:r>
      <w:r>
        <w:rPr>
          <w:rFonts w:hint="eastAsia" w:asciiTheme="minorEastAsia" w:hAnsiTheme="minorEastAsia" w:eastAsiaTheme="minorEastAsia" w:cstheme="minorEastAsia"/>
          <w:bCs/>
          <w:sz w:val="21"/>
          <w:szCs w:val="21"/>
        </w:rPr>
        <w:t xml:space="preserve">  检修区域应设置围栏或者警戒线，挂警示牌和标志牌。</w:t>
      </w:r>
    </w:p>
    <w:p w14:paraId="4BDDB7F1">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5.5.3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在现场的工作人员应着装统一，佩带明显的能够表明身份的标牌。</w:t>
      </w:r>
    </w:p>
    <w:p w14:paraId="3D20EC60">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5.5.4</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现场人员进入生产现场（办公室、控制室、值班室和检修班组室除外)必须带安全帽，着装符合《电业安全工作规程》要求，正确佩戴岗位标志，特殊工种还必须穿专用防护工作服和面具，作业现场秩序井然。</w:t>
      </w:r>
    </w:p>
    <w:p w14:paraId="579CC47B">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5.5.5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现场人员联系工作、答问询，应主动热情、耐心细致、礼貌待人，不得无理顶撞</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人员。</w:t>
      </w:r>
    </w:p>
    <w:p w14:paraId="3EF271A7">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5.5.6</w:t>
      </w:r>
      <w:r>
        <w:rPr>
          <w:rFonts w:hint="eastAsia" w:asciiTheme="minorEastAsia" w:hAnsiTheme="minorEastAsia" w:eastAsiaTheme="minorEastAsia" w:cstheme="minorEastAsia"/>
          <w:bCs/>
          <w:sz w:val="21"/>
          <w:szCs w:val="21"/>
        </w:rPr>
        <w:t xml:space="preserve">  检修现场要有定置管理制度和现场定置图，各种图纸、记录本、登记本、工器具、材料、检修设备的部件均按图整齐摆放，公共物品不受损坏。</w:t>
      </w:r>
    </w:p>
    <w:p w14:paraId="5CF1C809">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5.5.7</w:t>
      </w:r>
      <w:r>
        <w:rPr>
          <w:rFonts w:hint="eastAsia" w:asciiTheme="minorEastAsia" w:hAnsiTheme="minorEastAsia" w:eastAsiaTheme="minorEastAsia" w:cstheme="minorEastAsia"/>
          <w:bCs/>
          <w:sz w:val="21"/>
          <w:szCs w:val="21"/>
        </w:rPr>
        <w:t xml:space="preserve">  检修工作的各种技术图表、质量标准、安全标语要统一、美观。各种标示牌应悬挂整齐，按检修项目的实际情况，制定劳动保护措施，并监督实施。</w:t>
      </w:r>
    </w:p>
    <w:p w14:paraId="54D9B187">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5.5.8</w:t>
      </w:r>
      <w:r>
        <w:rPr>
          <w:rFonts w:hint="eastAsia" w:asciiTheme="minorEastAsia" w:hAnsiTheme="minorEastAsia" w:eastAsiaTheme="minorEastAsia" w:cstheme="minorEastAsia"/>
          <w:bCs/>
          <w:sz w:val="21"/>
          <w:szCs w:val="21"/>
        </w:rPr>
        <w:t xml:space="preserve">  重要设备检修区域，应设专人对出入检修区域的人员和携带的工具进行登记，防止工具、异物等遗失在设备内部；与检修工作无关的人员禁止入内，进入检修区域的人员需佩戴统一编号的胸卡，以便登记。</w:t>
      </w:r>
    </w:p>
    <w:p w14:paraId="698EC9F5">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5.5.9</w:t>
      </w:r>
      <w:r>
        <w:rPr>
          <w:rFonts w:hint="eastAsia" w:asciiTheme="minorEastAsia" w:hAnsiTheme="minorEastAsia" w:eastAsiaTheme="minorEastAsia" w:cstheme="minorEastAsia"/>
          <w:bCs/>
          <w:sz w:val="21"/>
          <w:szCs w:val="21"/>
        </w:rPr>
        <w:t xml:space="preserve">  作业现场做到“三不落地”、“三无”、“三不乱”，每天收工前清扫现场，做到工完料尽场地清。作业现场内禁止吸烟。</w:t>
      </w:r>
    </w:p>
    <w:p w14:paraId="7382B4FB">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5.5.10 </w:t>
      </w:r>
      <w:r>
        <w:rPr>
          <w:rFonts w:hint="eastAsia" w:asciiTheme="minorEastAsia" w:hAnsiTheme="minorEastAsia" w:eastAsiaTheme="minorEastAsia" w:cstheme="minorEastAsia"/>
          <w:bCs/>
          <w:sz w:val="21"/>
          <w:szCs w:val="21"/>
        </w:rPr>
        <w:t xml:space="preserve"> 搭设脚手架和临时放置较重的设备时，要垫好木板、橡胶等物，防止损坏地面。</w:t>
      </w:r>
    </w:p>
    <w:p w14:paraId="17000906">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5.5.11</w:t>
      </w:r>
      <w:r>
        <w:rPr>
          <w:rFonts w:hint="eastAsia" w:asciiTheme="minorEastAsia" w:hAnsiTheme="minorEastAsia" w:eastAsiaTheme="minorEastAsia" w:cstheme="minorEastAsia"/>
          <w:bCs/>
          <w:sz w:val="21"/>
          <w:szCs w:val="21"/>
        </w:rPr>
        <w:t xml:space="preserve">  检修工作中禁止在走廊和楼梯平台堆放物品，禁止在正运行的设备旁边休息和长期停留。</w:t>
      </w:r>
    </w:p>
    <w:p w14:paraId="1EE56906">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5.5.12 </w:t>
      </w:r>
      <w:r>
        <w:rPr>
          <w:rFonts w:hint="eastAsia" w:asciiTheme="minorEastAsia" w:hAnsiTheme="minorEastAsia" w:eastAsiaTheme="minorEastAsia" w:cstheme="minorEastAsia"/>
          <w:bCs/>
          <w:sz w:val="21"/>
          <w:szCs w:val="21"/>
        </w:rPr>
        <w:t xml:space="preserve"> 检修工作中要及时清理被检设备和检修现场，保持并检修区域和生产场所的清洁、文明状态，检修工作完成后，做到工完、料净、场地清。</w:t>
      </w:r>
    </w:p>
    <w:p w14:paraId="548B4C7D">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5.5.13 </w:t>
      </w:r>
      <w:r>
        <w:rPr>
          <w:rFonts w:hint="eastAsia" w:asciiTheme="minorEastAsia" w:hAnsiTheme="minorEastAsia" w:eastAsiaTheme="minorEastAsia" w:cstheme="minorEastAsia"/>
          <w:bCs/>
          <w:sz w:val="21"/>
          <w:szCs w:val="21"/>
        </w:rPr>
        <w:t xml:space="preserve"> 检修工作完成后，要求设备见本色，设备铭牌、标牌、编号、转动方向标示齐全、清晰，无积灰、积垢、积油，无污迹，无漏泄点。</w:t>
      </w:r>
    </w:p>
    <w:p w14:paraId="6A0C0EAB">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5.5.1</w:t>
      </w:r>
      <w:r>
        <w:rPr>
          <w:rFonts w:hint="eastAsia" w:cs="宋体" w:asciiTheme="minorAscii" w:hAnsiTheme="minorAscii"/>
          <w:b w:val="0"/>
          <w:bCs/>
          <w:color w:val="auto"/>
          <w:kern w:val="2"/>
          <w:sz w:val="21"/>
          <w:szCs w:val="21"/>
          <w:lang w:val="en-US" w:eastAsia="zh-CN" w:bidi="ar-SA"/>
        </w:rPr>
        <w:t>4</w:t>
      </w:r>
      <w:r>
        <w:rPr>
          <w:rFonts w:hint="eastAsia" w:asciiTheme="minorEastAsia" w:hAnsiTheme="minorEastAsia" w:eastAsiaTheme="minorEastAsia" w:cstheme="minorEastAsia"/>
          <w:bCs/>
          <w:sz w:val="21"/>
          <w:szCs w:val="21"/>
        </w:rPr>
        <w:t xml:space="preserve">  工作结束后的棉纱、保温材料等易燃易爆废弃物要合理处置，检修工作中要随时预防发生严重污染环境的事故。</w:t>
      </w:r>
    </w:p>
    <w:p w14:paraId="0D6A1422">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5.5.1</w:t>
      </w:r>
      <w:r>
        <w:rPr>
          <w:rFonts w:hint="eastAsia" w:cs="宋体" w:asciiTheme="minorAscii" w:hAnsiTheme="minorAscii"/>
          <w:b w:val="0"/>
          <w:bCs/>
          <w:color w:val="auto"/>
          <w:kern w:val="2"/>
          <w:sz w:val="21"/>
          <w:szCs w:val="21"/>
          <w:lang w:val="en-US" w:eastAsia="zh-CN" w:bidi="ar-SA"/>
        </w:rPr>
        <w:t>5</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不得随意在设备、结构、墙板、楼道上开孔或焊接临时结构，必要时须提出书面申请，经</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的生产管理部门批准后方可实施。</w:t>
      </w:r>
    </w:p>
    <w:p w14:paraId="1DA5589B">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lang w:val="en-US" w:eastAsia="zh-CN"/>
        </w:rPr>
      </w:pPr>
      <w:bookmarkStart w:id="40" w:name="_Toc503533211"/>
      <w:bookmarkStart w:id="41" w:name="_Toc260389268"/>
      <w:bookmarkStart w:id="42" w:name="_Toc22419"/>
      <w:r>
        <w:rPr>
          <w:rFonts w:hint="eastAsia" w:eastAsia="宋体" w:cs="Times New Roman"/>
          <w:lang w:val="en-US" w:eastAsia="zh-CN"/>
        </w:rPr>
        <w:t>5.6 工器具和车辆的管理</w:t>
      </w:r>
      <w:bookmarkEnd w:id="40"/>
      <w:bookmarkEnd w:id="41"/>
      <w:bookmarkEnd w:id="42"/>
    </w:p>
    <w:p w14:paraId="7BB90272">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5.6.1</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sz w:val="21"/>
          <w:szCs w:val="21"/>
          <w:lang w:eastAsia="zh-CN"/>
        </w:rPr>
        <w:t>比选申请人</w:t>
      </w:r>
      <w:r>
        <w:rPr>
          <w:rFonts w:hint="eastAsia" w:asciiTheme="minorEastAsia" w:hAnsiTheme="minorEastAsia" w:eastAsiaTheme="minorEastAsia" w:cstheme="minorEastAsia"/>
          <w:sz w:val="21"/>
          <w:szCs w:val="21"/>
        </w:rPr>
        <w:t>必须自备</w:t>
      </w:r>
      <w:r>
        <w:rPr>
          <w:rFonts w:hint="eastAsia" w:asciiTheme="minorEastAsia" w:hAnsiTheme="minorEastAsia" w:eastAsiaTheme="minorEastAsia" w:cstheme="minorEastAsia"/>
          <w:sz w:val="21"/>
          <w:szCs w:val="21"/>
          <w:lang w:val="en-US" w:eastAsia="zh-CN"/>
        </w:rPr>
        <w:t>常用工器具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比选申请人</w:t>
      </w:r>
      <w:r>
        <w:rPr>
          <w:rFonts w:hint="eastAsia" w:asciiTheme="minorEastAsia" w:hAnsiTheme="minorEastAsia" w:eastAsiaTheme="minorEastAsia" w:cstheme="minorEastAsia"/>
          <w:sz w:val="21"/>
          <w:szCs w:val="21"/>
        </w:rPr>
        <w:t>在执行设备</w:t>
      </w:r>
      <w:r>
        <w:rPr>
          <w:rFonts w:hint="eastAsia" w:asciiTheme="minorEastAsia" w:hAnsiTheme="minorEastAsia" w:eastAsiaTheme="minorEastAsia" w:cstheme="minorEastAsia"/>
          <w:sz w:val="21"/>
          <w:szCs w:val="21"/>
          <w:lang w:val="en-US" w:eastAsia="zh-CN"/>
        </w:rPr>
        <w:t>维护</w:t>
      </w:r>
      <w:r>
        <w:rPr>
          <w:rFonts w:hint="eastAsia" w:asciiTheme="minorEastAsia" w:hAnsiTheme="minorEastAsia" w:eastAsiaTheme="minorEastAsia" w:cstheme="minorEastAsia"/>
          <w:sz w:val="21"/>
          <w:szCs w:val="21"/>
        </w:rPr>
        <w:t>合同过程中不得由于检修工器具的原因引起工作迟滞或检修修质量下降。</w:t>
      </w:r>
      <w:r>
        <w:rPr>
          <w:rFonts w:hint="eastAsia" w:asciiTheme="minorEastAsia" w:hAnsiTheme="minorEastAsia" w:eastAsiaTheme="minorEastAsia" w:cstheme="minorEastAsia"/>
          <w:sz w:val="21"/>
          <w:szCs w:val="21"/>
          <w:lang w:eastAsia="zh-CN"/>
        </w:rPr>
        <w:t>比选人</w:t>
      </w:r>
      <w:r>
        <w:rPr>
          <w:rFonts w:hint="eastAsia" w:asciiTheme="minorEastAsia" w:hAnsiTheme="minorEastAsia" w:eastAsiaTheme="minorEastAsia" w:cstheme="minorEastAsia"/>
          <w:sz w:val="21"/>
          <w:szCs w:val="21"/>
        </w:rPr>
        <w:t>提供的专用工器具可视为</w:t>
      </w:r>
      <w:r>
        <w:rPr>
          <w:rFonts w:hint="eastAsia" w:asciiTheme="minorEastAsia" w:hAnsiTheme="minorEastAsia" w:eastAsiaTheme="minorEastAsia" w:cstheme="minorEastAsia"/>
          <w:sz w:val="21"/>
          <w:szCs w:val="21"/>
          <w:lang w:eastAsia="zh-CN"/>
        </w:rPr>
        <w:t>比选人</w:t>
      </w:r>
      <w:r>
        <w:rPr>
          <w:rFonts w:hint="eastAsia" w:asciiTheme="minorEastAsia" w:hAnsiTheme="minorEastAsia" w:eastAsiaTheme="minorEastAsia" w:cstheme="minorEastAsia"/>
          <w:sz w:val="21"/>
          <w:szCs w:val="21"/>
        </w:rPr>
        <w:t>固定资产的一部分，</w:t>
      </w:r>
      <w:r>
        <w:rPr>
          <w:rFonts w:hint="eastAsia" w:asciiTheme="minorEastAsia" w:hAnsiTheme="minorEastAsia" w:eastAsiaTheme="minorEastAsia" w:cstheme="minorEastAsia"/>
          <w:sz w:val="21"/>
          <w:szCs w:val="21"/>
          <w:lang w:eastAsia="zh-CN"/>
        </w:rPr>
        <w:t>比选申请人</w:t>
      </w:r>
      <w:r>
        <w:rPr>
          <w:rFonts w:hint="eastAsia" w:asciiTheme="minorEastAsia" w:hAnsiTheme="minorEastAsia" w:eastAsiaTheme="minorEastAsia" w:cstheme="minorEastAsia"/>
          <w:sz w:val="21"/>
          <w:szCs w:val="21"/>
        </w:rPr>
        <w:t>有无偿使用的权利和爱惜和保养的义务，并有损坏赔偿的责任（合理寿命消耗除外）。</w:t>
      </w:r>
    </w:p>
    <w:p w14:paraId="6352D2D1">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5.6.2</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提供的工器具和车辆：</w:t>
      </w:r>
    </w:p>
    <w:p w14:paraId="709B6403">
      <w:pPr>
        <w:snapToGrid w:val="0"/>
        <w:spacing w:line="360" w:lineRule="auto"/>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设备厂家提供的专用工器具、仪器；</w:t>
      </w:r>
    </w:p>
    <w:p w14:paraId="0224AC5D">
      <w:pPr>
        <w:snapToGrid w:val="0"/>
        <w:spacing w:line="360" w:lineRule="auto"/>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机加工用的车床、钻床、铣床（如果有）；</w:t>
      </w:r>
    </w:p>
    <w:p w14:paraId="7C07EECC">
      <w:pPr>
        <w:snapToGrid w:val="0"/>
        <w:spacing w:line="360" w:lineRule="auto"/>
        <w:ind w:firstLine="210" w:firstLineChars="1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特种车辆和机械。</w:t>
      </w:r>
    </w:p>
    <w:p w14:paraId="0C91D5DC">
      <w:pPr>
        <w:snapToGrid w:val="0"/>
        <w:spacing w:line="360" w:lineRule="auto"/>
        <w:rPr>
          <w:rFonts w:hint="eastAsia" w:asciiTheme="minorEastAsia" w:hAnsiTheme="minorEastAsia" w:eastAsiaTheme="minorEastAsia" w:cstheme="minorEastAsia"/>
          <w:bCs/>
          <w:sz w:val="21"/>
          <w:szCs w:val="21"/>
          <w:highlight w:val="none"/>
        </w:rPr>
      </w:pPr>
      <w:r>
        <w:rPr>
          <w:rFonts w:hint="eastAsia" w:eastAsia="宋体" w:cs="宋体" w:asciiTheme="minorAscii" w:hAnsiTheme="minorAscii"/>
          <w:b w:val="0"/>
          <w:bCs/>
          <w:color w:val="auto"/>
          <w:kern w:val="2"/>
          <w:sz w:val="21"/>
          <w:szCs w:val="21"/>
          <w:lang w:val="en-US" w:eastAsia="zh-CN" w:bidi="ar-SA"/>
        </w:rPr>
        <w:t>5.6.3</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至少</w:t>
      </w:r>
      <w:r>
        <w:rPr>
          <w:rFonts w:hint="eastAsia" w:asciiTheme="minorEastAsia" w:hAnsiTheme="minorEastAsia" w:eastAsiaTheme="minorEastAsia" w:cstheme="minorEastAsia"/>
          <w:bCs/>
          <w:sz w:val="21"/>
          <w:szCs w:val="21"/>
          <w:highlight w:val="none"/>
        </w:rPr>
        <w:t>应自备的工器具和车辆：</w:t>
      </w:r>
    </w:p>
    <w:p w14:paraId="6A6E2CF8">
      <w:pPr>
        <w:keepNext w:val="0"/>
        <w:keepLines w:val="0"/>
        <w:widowControl w:val="0"/>
        <w:suppressLineNumbers w:val="0"/>
        <w:snapToGrid w:val="0"/>
        <w:spacing w:before="0" w:beforeAutospacing="0" w:after="0" w:afterAutospacing="0" w:line="360" w:lineRule="auto"/>
        <w:ind w:left="0" w:right="0" w:firstLine="210" w:firstLineChars="100"/>
        <w:jc w:val="both"/>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1</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常用的工器具</w:t>
      </w:r>
      <w:r>
        <w:rPr>
          <w:rFonts w:hint="eastAsia" w:ascii="宋体" w:hAnsi="宋体" w:eastAsia="宋体" w:cs="宋体"/>
          <w:bCs/>
          <w:kern w:val="2"/>
          <w:sz w:val="21"/>
          <w:szCs w:val="21"/>
          <w:highlight w:val="none"/>
          <w:lang w:val="en-US" w:eastAsia="zh-CN" w:bidi="ar"/>
        </w:rPr>
        <w:t>（万用表、</w:t>
      </w:r>
      <w:r>
        <w:rPr>
          <w:rFonts w:hint="eastAsia" w:ascii="宋体" w:hAnsi="宋体" w:eastAsia="宋体" w:cs="宋体"/>
          <w:bCs/>
          <w:kern w:val="2"/>
          <w:sz w:val="21"/>
          <w:szCs w:val="21"/>
          <w:highlight w:val="none"/>
          <w:lang w:val="en-US" w:eastAsia="zh" w:bidi="ar"/>
        </w:rPr>
        <w:t>斜口钳、剥线钳、各种尺寸的</w:t>
      </w:r>
      <w:r>
        <w:rPr>
          <w:rFonts w:hint="eastAsia" w:ascii="宋体" w:hAnsi="宋体" w:eastAsia="宋体" w:cs="宋体"/>
          <w:bCs/>
          <w:kern w:val="2"/>
          <w:sz w:val="21"/>
          <w:szCs w:val="21"/>
          <w:highlight w:val="none"/>
          <w:lang w:val="en-US" w:eastAsia="zh-CN" w:bidi="ar"/>
        </w:rPr>
        <w:t>扳手、</w:t>
      </w:r>
      <w:r>
        <w:rPr>
          <w:rFonts w:hint="eastAsia" w:ascii="宋体" w:hAnsi="宋体" w:eastAsia="宋体" w:cs="宋体"/>
          <w:bCs/>
          <w:kern w:val="2"/>
          <w:sz w:val="21"/>
          <w:szCs w:val="21"/>
          <w:highlight w:val="none"/>
          <w:lang w:val="en-US" w:eastAsia="zh" w:bidi="ar"/>
        </w:rPr>
        <w:t>螺丝</w:t>
      </w:r>
      <w:r>
        <w:rPr>
          <w:rFonts w:hint="eastAsia" w:ascii="宋体" w:hAnsi="宋体" w:eastAsia="宋体" w:cs="宋体"/>
          <w:bCs/>
          <w:kern w:val="2"/>
          <w:sz w:val="21"/>
          <w:szCs w:val="21"/>
          <w:highlight w:val="none"/>
          <w:lang w:val="en-US" w:eastAsia="zh-CN" w:bidi="ar"/>
        </w:rPr>
        <w:t>刀等）；</w:t>
      </w:r>
      <w:r>
        <w:rPr>
          <w:rFonts w:hint="eastAsia" w:asciiTheme="minorEastAsia" w:hAnsiTheme="minorEastAsia" w:eastAsiaTheme="minorEastAsia" w:cstheme="minorEastAsia"/>
          <w:bCs/>
          <w:sz w:val="21"/>
          <w:szCs w:val="21"/>
          <w:highlight w:val="none"/>
        </w:rPr>
        <w:t>；</w:t>
      </w:r>
    </w:p>
    <w:p w14:paraId="22122C7B">
      <w:pPr>
        <w:keepNext w:val="0"/>
        <w:keepLines w:val="0"/>
        <w:widowControl w:val="0"/>
        <w:suppressLineNumbers w:val="0"/>
        <w:snapToGrid w:val="0"/>
        <w:spacing w:before="0" w:beforeAutospacing="0" w:after="0" w:afterAutospacing="0" w:line="360" w:lineRule="auto"/>
        <w:ind w:left="0" w:right="0" w:firstLine="210" w:firstLineChars="100"/>
        <w:jc w:val="both"/>
        <w:rPr>
          <w:rFonts w:hint="eastAsia" w:ascii="宋体" w:hAnsi="宋体" w:eastAsia="宋体" w:cs="宋体"/>
          <w:bCs/>
          <w:kern w:val="2"/>
          <w:sz w:val="21"/>
          <w:szCs w:val="21"/>
          <w:highlight w:val="none"/>
          <w:lang w:val="en-US" w:eastAsia="zh-CN" w:bidi="ar"/>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val="en-US" w:eastAsia="zh-CN"/>
        </w:rPr>
        <w:t>2</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
        </w:rPr>
        <w:t>网络维护</w:t>
      </w:r>
      <w:r>
        <w:rPr>
          <w:rFonts w:hint="eastAsia" w:asciiTheme="minorEastAsia" w:hAnsiTheme="minorEastAsia" w:eastAsiaTheme="minorEastAsia" w:cstheme="minorEastAsia"/>
          <w:bCs/>
          <w:sz w:val="21"/>
          <w:szCs w:val="21"/>
          <w:highlight w:val="none"/>
        </w:rPr>
        <w:t>专用工器具</w:t>
      </w:r>
      <w:r>
        <w:rPr>
          <w:rFonts w:hint="eastAsia" w:ascii="宋体" w:hAnsi="宋体" w:eastAsia="宋体" w:cs="宋体"/>
          <w:bCs/>
          <w:kern w:val="2"/>
          <w:sz w:val="21"/>
          <w:szCs w:val="21"/>
          <w:highlight w:val="none"/>
          <w:lang w:val="en-US" w:eastAsia="zh-CN" w:bidi="ar"/>
        </w:rPr>
        <w:t>（网线钳、网线检测器、光纤检测器、光纤熔接机等）；</w:t>
      </w:r>
    </w:p>
    <w:p w14:paraId="44FD38BD">
      <w:pPr>
        <w:keepNext w:val="0"/>
        <w:keepLines w:val="0"/>
        <w:widowControl w:val="0"/>
        <w:suppressLineNumbers w:val="0"/>
        <w:snapToGrid w:val="0"/>
        <w:spacing w:before="0" w:beforeAutospacing="0" w:after="0" w:afterAutospacing="0" w:line="360" w:lineRule="auto"/>
        <w:ind w:left="0" w:right="0" w:firstLine="210" w:firstLineChars="100"/>
        <w:jc w:val="both"/>
        <w:rPr>
          <w:rFonts w:hint="eastAsia"/>
          <w:highlight w:val="none"/>
        </w:rPr>
      </w:pPr>
      <w:r>
        <w:rPr>
          <w:rFonts w:hint="eastAsia" w:ascii="宋体" w:hAnsi="宋体" w:eastAsia="宋体" w:cs="宋体"/>
          <w:bCs/>
          <w:kern w:val="2"/>
          <w:sz w:val="21"/>
          <w:szCs w:val="21"/>
          <w:highlight w:val="none"/>
          <w:lang w:val="en-US" w:eastAsia="zh-CN" w:bidi="ar"/>
        </w:rPr>
        <w:t>（3）现场临时制作的专用工器具经过</w:t>
      </w:r>
      <w:r>
        <w:rPr>
          <w:rFonts w:hint="eastAsia" w:ascii="宋体" w:hAnsi="宋体" w:cs="宋体"/>
          <w:bCs/>
          <w:kern w:val="2"/>
          <w:sz w:val="21"/>
          <w:szCs w:val="21"/>
          <w:highlight w:val="none"/>
          <w:lang w:val="en-US" w:eastAsia="zh-CN" w:bidi="ar"/>
        </w:rPr>
        <w:t>比选人</w:t>
      </w:r>
      <w:r>
        <w:rPr>
          <w:rFonts w:hint="eastAsia" w:ascii="宋体" w:hAnsi="宋体" w:eastAsia="宋体" w:cs="宋体"/>
          <w:bCs/>
          <w:kern w:val="2"/>
          <w:sz w:val="21"/>
          <w:szCs w:val="21"/>
          <w:highlight w:val="none"/>
          <w:lang w:val="en-US" w:eastAsia="zh-CN" w:bidi="ar"/>
        </w:rPr>
        <w:t>批准后方可使用；</w:t>
      </w:r>
    </w:p>
    <w:p w14:paraId="69C1487B">
      <w:pPr>
        <w:snapToGrid w:val="0"/>
        <w:spacing w:line="360" w:lineRule="auto"/>
        <w:ind w:firstLine="210" w:firstLineChars="100"/>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lang w:eastAsia="zh"/>
        </w:rPr>
        <w:t>4</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常用交通车辆。运输车辆等根据工作需要自行解决。</w:t>
      </w:r>
    </w:p>
    <w:p w14:paraId="7BFF0C36">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highlight w:val="none"/>
          <w:lang w:val="en-US" w:eastAsia="zh-CN" w:bidi="ar-SA"/>
        </w:rPr>
        <w:t xml:space="preserve">5.6.4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提供的工器具和车辆由</w:t>
      </w:r>
      <w:r>
        <w:rPr>
          <w:rFonts w:hint="eastAsia" w:asciiTheme="minorEastAsia" w:hAnsiTheme="minorEastAsia" w:eastAsiaTheme="minorEastAsia" w:cstheme="minorEastAsia"/>
          <w:bCs/>
          <w:sz w:val="21"/>
          <w:szCs w:val="21"/>
          <w:highlight w:val="none"/>
          <w:lang w:eastAsia="zh-CN"/>
        </w:rPr>
        <w:t>比选人</w:t>
      </w:r>
      <w:r>
        <w:rPr>
          <w:rFonts w:hint="eastAsia" w:asciiTheme="minorEastAsia" w:hAnsiTheme="minorEastAsia" w:eastAsiaTheme="minorEastAsia" w:cstheme="minorEastAsia"/>
          <w:bCs/>
          <w:sz w:val="21"/>
          <w:szCs w:val="21"/>
          <w:highlight w:val="none"/>
        </w:rPr>
        <w:t>统一管理，</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rPr>
        <w:t>可按规定借用，用后必须及时归还，不得转借他人或带离</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现场，若有损坏和丢失应照价双倍赔偿。能修复的，将酌情处理。</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自备的机械（如：升降车等）可按规定借用或租用。</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提供的工器具在检修使用时出现的故障由使用方负责，而检修所需的零件由</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负责（仅限于工器具的正常使用造成的损坏）。</w:t>
      </w:r>
    </w:p>
    <w:p w14:paraId="06E8E890">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5.6.5 </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应向</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提供一份现场检修工作的自备工器具明细表，工器具应符合安全标准，所用仪器、仪表的精度应满足标准要求，并在检定的有效期内，所有电动工具及检验工具必须有合格证。</w:t>
      </w:r>
    </w:p>
    <w:p w14:paraId="43FEC98A">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5.6.6</w:t>
      </w:r>
      <w:r>
        <w:rPr>
          <w:rFonts w:hint="eastAsia" w:asciiTheme="minorEastAsia" w:hAnsiTheme="minorEastAsia" w:eastAsiaTheme="minorEastAsia" w:cstheme="minorEastAsia"/>
          <w:bCs/>
          <w:sz w:val="21"/>
          <w:szCs w:val="21"/>
        </w:rPr>
        <w:t xml:space="preserve">  由于技术、工器具、仪器仪表、场所的限制</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无法完成的机加工，由</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出方案和图纸，</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负责外委加工。</w:t>
      </w:r>
    </w:p>
    <w:p w14:paraId="6ED42975">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 xml:space="preserve">5.6.7 </w:t>
      </w:r>
      <w:r>
        <w:rPr>
          <w:rFonts w:hint="eastAsia" w:asciiTheme="minorEastAsia" w:hAnsiTheme="minorEastAsia" w:eastAsiaTheme="minorEastAsia" w:cstheme="minorEastAsia"/>
          <w:bCs/>
          <w:sz w:val="21"/>
          <w:szCs w:val="21"/>
        </w:rPr>
        <w:t xml:space="preserve"> 为确保检修工作顺利，</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应具备足够的工器具调配能力。</w:t>
      </w:r>
    </w:p>
    <w:p w14:paraId="294FBD1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1"/>
        <w:rPr>
          <w:rFonts w:hint="eastAsia" w:eastAsia="宋体" w:cs="Times New Roman"/>
          <w:lang w:val="en-US" w:eastAsia="zh-CN"/>
        </w:rPr>
      </w:pPr>
      <w:bookmarkStart w:id="43" w:name="_Toc503533212"/>
      <w:bookmarkStart w:id="44" w:name="_Toc260389269"/>
      <w:bookmarkStart w:id="45" w:name="_Toc19347"/>
      <w:r>
        <w:rPr>
          <w:rFonts w:hint="eastAsia" w:eastAsia="宋体" w:cs="Times New Roman"/>
          <w:lang w:val="en-US" w:eastAsia="zh-CN"/>
        </w:rPr>
        <w:t>5.7  备品备件、一般消耗性材料的供应方式</w:t>
      </w:r>
      <w:bookmarkEnd w:id="43"/>
      <w:bookmarkEnd w:id="44"/>
      <w:bookmarkEnd w:id="45"/>
    </w:p>
    <w:p w14:paraId="7D87BC25">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5.7.1</w:t>
      </w:r>
      <w:r>
        <w:rPr>
          <w:rFonts w:hint="eastAsia" w:asciiTheme="minorEastAsia" w:hAnsiTheme="minorEastAsia" w:eastAsiaTheme="minorEastAsia" w:cstheme="minorEastAsia"/>
          <w:bCs/>
          <w:sz w:val="21"/>
          <w:szCs w:val="21"/>
        </w:rPr>
        <w:t xml:space="preserve">  现场检修使用的备品备件及消耗性材料由</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提出申购计划，</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负责审核、采购、验收、存放、保养等管理，</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负责搬运、领用。</w:t>
      </w:r>
    </w:p>
    <w:p w14:paraId="3AB3F222">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5.7.2</w:t>
      </w:r>
      <w:r>
        <w:rPr>
          <w:rFonts w:hint="eastAsia" w:asciiTheme="minorEastAsia" w:hAnsiTheme="minorEastAsia" w:eastAsiaTheme="minorEastAsia" w:cstheme="minorEastAsia"/>
          <w:bCs/>
          <w:sz w:val="21"/>
          <w:szCs w:val="21"/>
        </w:rPr>
        <w:t xml:space="preserve">  正常情况下备品备件的更换和领用需经过</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检修管理人员的确认与批准，但特殊情况下（如夜间、节假日、抢修等），可由</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同意后先行领用，然后尽快补办相关的签字手续，具体程序按</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相关管理办法执行。</w:t>
      </w:r>
    </w:p>
    <w:p w14:paraId="7D3444CA">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5.7.3</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highlight w:val="none"/>
        </w:rPr>
        <w:t xml:space="preserve"> </w:t>
      </w:r>
      <w:bookmarkStart w:id="46" w:name="OLE_LINK1"/>
      <w:r>
        <w:rPr>
          <w:rFonts w:hint="eastAsia" w:asciiTheme="minorEastAsia" w:hAnsiTheme="minorEastAsia" w:eastAsiaTheme="minorEastAsia" w:cstheme="minorEastAsia"/>
          <w:bCs/>
          <w:sz w:val="21"/>
          <w:szCs w:val="21"/>
          <w:highlight w:val="none"/>
        </w:rPr>
        <w:t>钢制围栏、彩条布、</w:t>
      </w:r>
      <w:r>
        <w:rPr>
          <w:rFonts w:hint="eastAsia" w:asciiTheme="minorEastAsia" w:hAnsiTheme="minorEastAsia" w:eastAsiaTheme="minorEastAsia" w:cstheme="minorEastAsia"/>
          <w:bCs/>
          <w:sz w:val="21"/>
          <w:szCs w:val="21"/>
          <w:highlight w:val="none"/>
          <w:lang w:val="en-US" w:eastAsia="zh-CN"/>
        </w:rPr>
        <w:t>警戒带、螺栓螺母、电工胶带</w:t>
      </w:r>
      <w:r>
        <w:rPr>
          <w:rFonts w:hint="eastAsia" w:asciiTheme="minorEastAsia" w:hAnsiTheme="minorEastAsia" w:eastAsiaTheme="minorEastAsia" w:cstheme="minorEastAsia"/>
          <w:bCs/>
          <w:sz w:val="21"/>
          <w:szCs w:val="21"/>
          <w:highlight w:val="none"/>
        </w:rPr>
        <w:t>等</w:t>
      </w:r>
      <w:bookmarkEnd w:id="46"/>
      <w:r>
        <w:rPr>
          <w:rFonts w:hint="eastAsia" w:asciiTheme="minorEastAsia" w:hAnsiTheme="minorEastAsia" w:eastAsiaTheme="minorEastAsia" w:cstheme="minorEastAsia"/>
          <w:bCs/>
          <w:sz w:val="21"/>
          <w:szCs w:val="21"/>
          <w:highlight w:val="none"/>
        </w:rPr>
        <w:t>材料由</w:t>
      </w:r>
      <w:r>
        <w:rPr>
          <w:rFonts w:hint="eastAsia" w:asciiTheme="minorEastAsia" w:hAnsiTheme="minorEastAsia" w:eastAsiaTheme="minorEastAsia" w:cstheme="minorEastAsia"/>
          <w:bCs/>
          <w:sz w:val="21"/>
          <w:szCs w:val="21"/>
          <w:highlight w:val="none"/>
          <w:lang w:eastAsia="zh-CN"/>
        </w:rPr>
        <w:t>比选申请人</w:t>
      </w:r>
      <w:r>
        <w:rPr>
          <w:rFonts w:hint="eastAsia" w:asciiTheme="minorEastAsia" w:hAnsiTheme="minorEastAsia" w:eastAsiaTheme="minorEastAsia" w:cstheme="minorEastAsia"/>
          <w:bCs/>
          <w:sz w:val="21"/>
          <w:szCs w:val="21"/>
          <w:highlight w:val="none"/>
        </w:rPr>
        <w:t>自行负责。</w:t>
      </w:r>
    </w:p>
    <w:p w14:paraId="7D5C0CB8">
      <w:pPr>
        <w:bidi w:val="0"/>
        <w:spacing w:line="360" w:lineRule="auto"/>
        <w:outlineLvl w:val="1"/>
        <w:rPr>
          <w:rFonts w:hint="eastAsia"/>
        </w:rPr>
      </w:pPr>
      <w:bookmarkStart w:id="47" w:name="_Toc17257"/>
      <w:bookmarkStart w:id="48" w:name="_Toc260389270"/>
      <w:bookmarkStart w:id="49" w:name="_Toc503533213"/>
      <w:r>
        <w:rPr>
          <w:rFonts w:hint="eastAsia"/>
          <w:lang w:val="en-US" w:eastAsia="zh-CN"/>
        </w:rPr>
        <w:t>5</w:t>
      </w:r>
      <w:r>
        <w:rPr>
          <w:rFonts w:hint="eastAsia"/>
        </w:rPr>
        <w:t>.8  技术文件、规范、图纸的提供</w:t>
      </w:r>
      <w:bookmarkEnd w:id="47"/>
      <w:bookmarkEnd w:id="48"/>
      <w:bookmarkEnd w:id="49"/>
    </w:p>
    <w:p w14:paraId="30162E65">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5.8.1</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应最大限度向</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提供有关设备检修的技术文件、标准、图纸、产品说明书等技术资料。</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需要复制时，除了严格用于合同目的，</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不能在未得到</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批准的情况下，让第三者使用或向第三方转让。合同到期后，</w:t>
      </w:r>
      <w:r>
        <w:rPr>
          <w:rFonts w:hint="eastAsia" w:asciiTheme="minorEastAsia" w:hAnsiTheme="minorEastAsia" w:eastAsiaTheme="minorEastAsia" w:cstheme="minorEastAsia"/>
          <w:bCs/>
          <w:sz w:val="21"/>
          <w:szCs w:val="21"/>
          <w:lang w:eastAsia="zh-CN"/>
        </w:rPr>
        <w:t>比选申请人</w:t>
      </w:r>
      <w:r>
        <w:rPr>
          <w:rFonts w:hint="eastAsia" w:asciiTheme="minorEastAsia" w:hAnsiTheme="minorEastAsia" w:eastAsiaTheme="minorEastAsia" w:cstheme="minorEastAsia"/>
          <w:bCs/>
          <w:sz w:val="21"/>
          <w:szCs w:val="21"/>
        </w:rPr>
        <w:t>应将所有根据合同提供的图纸、规范、及其它文件退还</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w:t>
      </w:r>
    </w:p>
    <w:p w14:paraId="54C33180">
      <w:pPr>
        <w:snapToGrid w:val="0"/>
        <w:spacing w:line="360" w:lineRule="auto"/>
        <w:rPr>
          <w:rFonts w:hint="eastAsia" w:asciiTheme="minorEastAsia" w:hAnsiTheme="minorEastAsia" w:eastAsiaTheme="minorEastAsia" w:cstheme="minorEastAsia"/>
          <w:bCs/>
          <w:sz w:val="21"/>
          <w:szCs w:val="21"/>
        </w:rPr>
      </w:pPr>
      <w:r>
        <w:rPr>
          <w:rFonts w:hint="eastAsia" w:eastAsia="宋体" w:cs="宋体" w:asciiTheme="minorAscii" w:hAnsiTheme="minorAscii"/>
          <w:b w:val="0"/>
          <w:bCs/>
          <w:color w:val="auto"/>
          <w:kern w:val="2"/>
          <w:sz w:val="21"/>
          <w:szCs w:val="21"/>
          <w:lang w:val="en-US" w:eastAsia="zh-CN" w:bidi="ar-SA"/>
        </w:rPr>
        <w:t>5.8.2</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sz w:val="21"/>
          <w:szCs w:val="21"/>
          <w:lang w:eastAsia="zh-CN"/>
        </w:rPr>
        <w:t>比选人</w:t>
      </w:r>
      <w:r>
        <w:rPr>
          <w:rFonts w:hint="eastAsia" w:asciiTheme="minorEastAsia" w:hAnsiTheme="minorEastAsia" w:eastAsiaTheme="minorEastAsia" w:cstheme="minorEastAsia"/>
          <w:bCs/>
          <w:sz w:val="21"/>
          <w:szCs w:val="21"/>
        </w:rPr>
        <w:t>所提供的设备清册仅供参考，在合同实施期间设备、材料数量、型号的变化，均不调整合同标价。</w:t>
      </w:r>
    </w:p>
    <w:p w14:paraId="2D6ADBB2">
      <w:pPr>
        <w:keepNext w:val="0"/>
        <w:keepLines w:val="0"/>
        <w:pageBreakBefore w:val="0"/>
        <w:widowControl w:val="0"/>
        <w:numPr>
          <w:ilvl w:val="0"/>
          <w:numId w:val="1"/>
        </w:numPr>
        <w:kinsoku/>
        <w:wordWrap/>
        <w:overflowPunct/>
        <w:topLinePunct w:val="0"/>
        <w:autoSpaceDE/>
        <w:autoSpaceDN/>
        <w:bidi w:val="0"/>
        <w:adjustRightInd/>
        <w:snapToGrid/>
        <w:spacing w:before="235" w:beforeLines="75" w:after="157" w:afterLines="50" w:line="360" w:lineRule="auto"/>
        <w:ind w:left="-420" w:firstLine="420"/>
        <w:textAlignment w:val="auto"/>
        <w:outlineLvl w:val="0"/>
        <w:rPr>
          <w:rFonts w:hint="eastAsia" w:asciiTheme="minorEastAsia" w:hAnsiTheme="minorEastAsia" w:eastAsiaTheme="minorEastAsia" w:cstheme="minorEastAsia"/>
          <w:color w:val="auto"/>
          <w:sz w:val="21"/>
          <w:szCs w:val="21"/>
          <w:highlight w:val="none"/>
          <w:lang w:val="en-US" w:eastAsia="zh-CN"/>
        </w:rPr>
      </w:pPr>
      <w:bookmarkStart w:id="50" w:name="_Toc10877"/>
      <w:bookmarkStart w:id="51" w:name="_Toc26467"/>
      <w:bookmarkStart w:id="52" w:name="_Toc503533215"/>
      <w:r>
        <w:rPr>
          <w:rFonts w:hint="eastAsia" w:asciiTheme="minorEastAsia" w:hAnsiTheme="minorEastAsia" w:eastAsiaTheme="minorEastAsia" w:cstheme="minorEastAsia"/>
          <w:color w:val="auto"/>
          <w:sz w:val="21"/>
          <w:szCs w:val="21"/>
          <w:highlight w:val="none"/>
          <w:lang w:val="en-US" w:eastAsia="zh-CN"/>
        </w:rPr>
        <w:t>组织机构</w:t>
      </w:r>
      <w:bookmarkEnd w:id="50"/>
      <w:bookmarkEnd w:id="51"/>
      <w:bookmarkEnd w:id="52"/>
    </w:p>
    <w:p w14:paraId="5AFDCC63">
      <w:pPr>
        <w:bidi w:val="0"/>
        <w:spacing w:line="360" w:lineRule="auto"/>
        <w:outlineLvl w:val="1"/>
        <w:rPr>
          <w:rFonts w:hint="eastAsia"/>
          <w:lang w:val="en-US" w:eastAsia="zh-CN"/>
        </w:rPr>
      </w:pPr>
      <w:r>
        <w:rPr>
          <w:rFonts w:hint="eastAsia"/>
          <w:lang w:val="en-US" w:eastAsia="zh-CN"/>
        </w:rPr>
        <w:t>6.1 比选申请人应建立健全管理机构，按项目经理责任制进行安全生产管理。配备各级行政及技术管理人员，不同工种的维护人员及数量应满足本项目所辖系统维护需要，加强安全管理和安全教育，增强安全意识、服务意识、质量意识，防止发生人身伤害和设备损坏事故。</w:t>
      </w:r>
    </w:p>
    <w:p w14:paraId="203BE887">
      <w:pPr>
        <w:bidi w:val="0"/>
        <w:spacing w:line="360" w:lineRule="auto"/>
        <w:outlineLvl w:val="1"/>
        <w:rPr>
          <w:rFonts w:hint="eastAsia"/>
          <w:lang w:val="en-US" w:eastAsia="zh-CN"/>
        </w:rPr>
      </w:pPr>
      <w:r>
        <w:rPr>
          <w:rFonts w:hint="eastAsia"/>
          <w:lang w:val="en-US" w:eastAsia="zh-CN"/>
        </w:rPr>
        <w:t>6.2 比选申请人在现场设立项目经理部。主要人员和技术工人按照项目组织设计和实际需要统一从公司组织、调遣。</w:t>
      </w:r>
    </w:p>
    <w:p w14:paraId="25C51DC9">
      <w:pPr>
        <w:bidi w:val="0"/>
        <w:spacing w:line="360" w:lineRule="auto"/>
        <w:outlineLvl w:val="1"/>
        <w:rPr>
          <w:rFonts w:hint="eastAsia"/>
          <w:lang w:val="en-US" w:eastAsia="zh-CN"/>
        </w:rPr>
      </w:pPr>
      <w:r>
        <w:rPr>
          <w:rFonts w:hint="eastAsia"/>
          <w:lang w:val="en-US" w:eastAsia="zh-CN"/>
        </w:rPr>
        <w:t>6.3 项目经理部组织机构设置</w:t>
      </w:r>
    </w:p>
    <w:p w14:paraId="4EF71C77">
      <w:pPr>
        <w:bidi w:val="0"/>
        <w:spacing w:line="360" w:lineRule="auto"/>
        <w:outlineLvl w:val="1"/>
        <w:rPr>
          <w:rFonts w:hint="eastAsia"/>
          <w:lang w:val="en-US" w:eastAsia="zh-CN"/>
        </w:rPr>
      </w:pPr>
      <w:r>
        <w:rPr>
          <w:rFonts w:hint="eastAsia"/>
          <w:lang w:val="en-US" w:eastAsia="zh-CN"/>
        </w:rPr>
        <w:t>6.3.1  项目经理部人员配置必须满足维护任务需要，并不低于以下要求：</w:t>
      </w:r>
    </w:p>
    <w:p w14:paraId="0A5965A4">
      <w:pPr>
        <w:bidi w:val="0"/>
        <w:spacing w:line="360" w:lineRule="auto"/>
        <w:outlineLvl w:val="1"/>
        <w:rPr>
          <w:rFonts w:hint="eastAsia"/>
          <w:lang w:val="en-US" w:eastAsia="zh-CN"/>
        </w:rPr>
      </w:pPr>
      <w:r>
        <w:rPr>
          <w:rFonts w:hint="eastAsia"/>
          <w:lang w:val="en-US" w:eastAsia="zh-CN"/>
        </w:rPr>
        <w:t>项目经理：项目技术负责人兼安全培训工程师 （1）人；</w:t>
      </w:r>
    </w:p>
    <w:p w14:paraId="5A580F20">
      <w:pPr>
        <w:bidi w:val="0"/>
        <w:spacing w:line="360" w:lineRule="auto"/>
        <w:outlineLvl w:val="1"/>
        <w:rPr>
          <w:rFonts w:hint="eastAsia"/>
          <w:lang w:val="en-US" w:eastAsia="zh-CN"/>
        </w:rPr>
      </w:pPr>
      <w:r>
        <w:rPr>
          <w:rFonts w:hint="eastAsia"/>
          <w:lang w:val="en-US" w:eastAsia="zh-CN"/>
        </w:rPr>
        <w:t>检修工人：以满足工作需求为准，不低于（1）人。</w:t>
      </w:r>
    </w:p>
    <w:p w14:paraId="7E67734C">
      <w:pPr>
        <w:bidi w:val="0"/>
        <w:spacing w:line="360" w:lineRule="auto"/>
        <w:outlineLvl w:val="1"/>
        <w:rPr>
          <w:rFonts w:hint="eastAsia"/>
          <w:lang w:val="en-US" w:eastAsia="zh-CN"/>
        </w:rPr>
      </w:pPr>
      <w:r>
        <w:rPr>
          <w:rFonts w:hint="eastAsia"/>
          <w:lang w:val="en-US" w:eastAsia="zh-CN"/>
        </w:rPr>
        <w:t>6.3.2  维护人员岗位定员、岗位主要职责如下表：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81"/>
        <w:gridCol w:w="5432"/>
        <w:gridCol w:w="1076"/>
      </w:tblGrid>
      <w:tr w14:paraId="48AF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14:paraId="381BAB8D">
            <w:pPr>
              <w:keepNext w:val="0"/>
              <w:keepLines w:val="0"/>
              <w:suppressLineNumbers w:val="0"/>
              <w:bidi w:val="0"/>
              <w:spacing w:before="0" w:beforeAutospacing="0" w:after="0" w:afterAutospacing="0" w:line="360" w:lineRule="auto"/>
              <w:ind w:left="0" w:right="0"/>
              <w:outlineLvl w:val="1"/>
              <w:rPr>
                <w:rFonts w:hint="eastAsia"/>
                <w:lang w:val="en-US" w:eastAsia="zh-CN"/>
              </w:rPr>
            </w:pPr>
            <w:r>
              <w:rPr>
                <w:rFonts w:hint="eastAsia"/>
                <w:lang w:val="en-US" w:eastAsia="zh-CN"/>
              </w:rPr>
              <w:t>岗位名称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4AAD7D37">
            <w:pPr>
              <w:keepNext w:val="0"/>
              <w:keepLines w:val="0"/>
              <w:suppressLineNumbers w:val="0"/>
              <w:bidi w:val="0"/>
              <w:spacing w:before="0" w:beforeAutospacing="0" w:after="0" w:afterAutospacing="0" w:line="360" w:lineRule="auto"/>
              <w:ind w:left="0" w:right="0"/>
              <w:outlineLvl w:val="1"/>
              <w:rPr>
                <w:rFonts w:hint="eastAsia"/>
                <w:lang w:val="en-US" w:eastAsia="zh-CN"/>
              </w:rPr>
            </w:pPr>
            <w:r>
              <w:rPr>
                <w:rFonts w:hint="eastAsia"/>
                <w:lang w:val="en-US" w:eastAsia="zh-CN"/>
              </w:rPr>
              <w:t>定员</w:t>
            </w:r>
          </w:p>
        </w:tc>
        <w:tc>
          <w:tcPr>
            <w:tcW w:w="5432" w:type="dxa"/>
            <w:tcBorders>
              <w:top w:val="single" w:color="auto" w:sz="4" w:space="0"/>
              <w:left w:val="single" w:color="auto" w:sz="4" w:space="0"/>
              <w:bottom w:val="single" w:color="auto" w:sz="4" w:space="0"/>
              <w:right w:val="single" w:color="auto" w:sz="4" w:space="0"/>
            </w:tcBorders>
            <w:noWrap w:val="0"/>
            <w:vAlign w:val="center"/>
          </w:tcPr>
          <w:p w14:paraId="65661958">
            <w:pPr>
              <w:keepNext w:val="0"/>
              <w:keepLines w:val="0"/>
              <w:suppressLineNumbers w:val="0"/>
              <w:bidi w:val="0"/>
              <w:spacing w:before="0" w:beforeAutospacing="0" w:after="0" w:afterAutospacing="0" w:line="360" w:lineRule="auto"/>
              <w:ind w:left="0" w:right="0"/>
              <w:outlineLvl w:val="1"/>
              <w:rPr>
                <w:rFonts w:hint="eastAsia"/>
                <w:lang w:val="en-US" w:eastAsia="zh-CN"/>
              </w:rPr>
            </w:pPr>
            <w:r>
              <w:rPr>
                <w:rFonts w:hint="eastAsia"/>
                <w:lang w:val="en-US" w:eastAsia="zh-CN"/>
              </w:rPr>
              <w:t>岗位主要职责</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009F19A">
            <w:pPr>
              <w:keepNext w:val="0"/>
              <w:keepLines w:val="0"/>
              <w:suppressLineNumbers w:val="0"/>
              <w:bidi w:val="0"/>
              <w:spacing w:before="0" w:beforeAutospacing="0" w:after="0" w:afterAutospacing="0" w:line="360" w:lineRule="auto"/>
              <w:ind w:left="0" w:right="0"/>
              <w:outlineLvl w:val="1"/>
              <w:rPr>
                <w:rFonts w:hint="eastAsia"/>
                <w:lang w:val="en-US" w:eastAsia="zh-CN"/>
              </w:rPr>
            </w:pPr>
            <w:r>
              <w:rPr>
                <w:rFonts w:hint="eastAsia"/>
                <w:lang w:val="en-US" w:eastAsia="zh-CN"/>
              </w:rPr>
              <w:t>用工种类</w:t>
            </w:r>
          </w:p>
        </w:tc>
      </w:tr>
      <w:tr w14:paraId="4F9C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14:paraId="1E58E810">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项目部经理（兼安全培训工程师）</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6F131F4B">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1</w:t>
            </w:r>
          </w:p>
        </w:tc>
        <w:tc>
          <w:tcPr>
            <w:tcW w:w="5432" w:type="dxa"/>
            <w:tcBorders>
              <w:top w:val="single" w:color="auto" w:sz="4" w:space="0"/>
              <w:left w:val="single" w:color="auto" w:sz="4" w:space="0"/>
              <w:bottom w:val="single" w:color="auto" w:sz="4" w:space="0"/>
              <w:right w:val="single" w:color="auto" w:sz="4" w:space="0"/>
            </w:tcBorders>
            <w:noWrap w:val="0"/>
            <w:vAlign w:val="center"/>
          </w:tcPr>
          <w:p w14:paraId="4BF91171">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全面负责项目部的日常管理工作，所辖范围维护工作和安全管理工作，并负责对员工进行安全、技术培训教育、考核，负责对现场安全情况进行监督、检查，负责安全工器具的管理，是项目部的安全第一负责人。</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C15EC87">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工程师</w:t>
            </w:r>
          </w:p>
        </w:tc>
      </w:tr>
      <w:tr w14:paraId="1F97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14:paraId="21834A36">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检修工人</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5B13D792">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满足现场工作要求</w:t>
            </w:r>
          </w:p>
        </w:tc>
        <w:tc>
          <w:tcPr>
            <w:tcW w:w="5432" w:type="dxa"/>
            <w:tcBorders>
              <w:top w:val="single" w:color="auto" w:sz="4" w:space="0"/>
              <w:left w:val="single" w:color="auto" w:sz="4" w:space="0"/>
              <w:bottom w:val="single" w:color="auto" w:sz="4" w:space="0"/>
              <w:right w:val="single" w:color="auto" w:sz="4" w:space="0"/>
            </w:tcBorders>
            <w:noWrap w:val="0"/>
            <w:vAlign w:val="center"/>
          </w:tcPr>
          <w:p w14:paraId="1C29A4FE">
            <w:pPr>
              <w:keepNext w:val="0"/>
              <w:keepLines w:val="0"/>
              <w:suppressLineNumbers w:val="0"/>
              <w:bidi w:val="0"/>
              <w:spacing w:before="0" w:beforeAutospacing="0" w:after="0" w:afterAutospacing="0" w:line="240" w:lineRule="auto"/>
              <w:ind w:left="0" w:right="0"/>
              <w:outlineLvl w:val="1"/>
              <w:rPr>
                <w:rFonts w:hint="eastAsia"/>
                <w:lang w:val="en-US" w:eastAsia="zh-CN"/>
              </w:rPr>
            </w:pPr>
            <w:r>
              <w:rPr>
                <w:rFonts w:hint="eastAsia"/>
                <w:lang w:val="en-US" w:eastAsia="zh-CN"/>
              </w:rPr>
              <w:t>在检修负责人的领导下，负责检修、维护工作具体实施，</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C8A0BB2">
            <w:pPr>
              <w:keepNext w:val="0"/>
              <w:keepLines w:val="0"/>
              <w:suppressLineNumbers w:val="0"/>
              <w:bidi w:val="0"/>
              <w:spacing w:before="0" w:beforeAutospacing="0" w:after="0" w:afterAutospacing="0" w:line="240" w:lineRule="auto"/>
              <w:ind w:left="0" w:right="0"/>
              <w:outlineLvl w:val="1"/>
              <w:rPr>
                <w:rFonts w:hint="eastAsia"/>
                <w:lang w:val="en-US" w:eastAsia="zh-CN"/>
              </w:rPr>
            </w:pPr>
          </w:p>
        </w:tc>
      </w:tr>
    </w:tbl>
    <w:p w14:paraId="4C3E3C35">
      <w:pPr>
        <w:bidi w:val="0"/>
        <w:spacing w:line="360" w:lineRule="auto"/>
        <w:outlineLvl w:val="1"/>
        <w:rPr>
          <w:rFonts w:hint="eastAsia"/>
          <w:lang w:val="zh-CN" w:eastAsia="zh-CN"/>
        </w:rPr>
      </w:pPr>
      <w:r>
        <w:rPr>
          <w:rFonts w:hint="eastAsia"/>
          <w:lang w:val="en-US" w:eastAsia="zh-CN"/>
        </w:rPr>
        <w:t>6</w:t>
      </w:r>
      <w:r>
        <w:rPr>
          <w:rFonts w:hint="eastAsia"/>
          <w:lang w:val="zh-CN" w:eastAsia="zh-CN"/>
        </w:rPr>
        <w:t>.4  项目部人员及素质</w:t>
      </w:r>
    </w:p>
    <w:p w14:paraId="6F2CD2E8">
      <w:pPr>
        <w:bidi w:val="0"/>
        <w:spacing w:line="360" w:lineRule="auto"/>
        <w:outlineLvl w:val="1"/>
        <w:rPr>
          <w:rFonts w:hint="eastAsia"/>
          <w:lang w:val="en-US" w:eastAsia="zh-CN"/>
        </w:rPr>
      </w:pPr>
      <w:r>
        <w:rPr>
          <w:rFonts w:hint="eastAsia"/>
          <w:lang w:val="en-US" w:eastAsia="zh-CN"/>
        </w:rPr>
        <w:t>6</w:t>
      </w:r>
      <w:r>
        <w:rPr>
          <w:rFonts w:hint="eastAsia"/>
          <w:lang w:val="zh-CN" w:eastAsia="zh-CN"/>
        </w:rPr>
        <w:t>.4.1</w:t>
      </w:r>
      <w:r>
        <w:rPr>
          <w:rFonts w:hint="eastAsia"/>
          <w:lang w:val="en-US" w:eastAsia="zh-CN"/>
        </w:rPr>
        <w:t>基本要求：</w:t>
      </w:r>
    </w:p>
    <w:p w14:paraId="68CF2812">
      <w:pPr>
        <w:bidi w:val="0"/>
        <w:spacing w:line="360" w:lineRule="auto"/>
        <w:outlineLvl w:val="1"/>
        <w:rPr>
          <w:rFonts w:hint="eastAsia"/>
          <w:lang w:val="en-US" w:eastAsia="zh-CN"/>
        </w:rPr>
      </w:pPr>
      <w:r>
        <w:rPr>
          <w:rFonts w:hint="eastAsia"/>
          <w:lang w:val="en-US" w:eastAsia="zh-CN"/>
        </w:rPr>
        <w:t>（1）所有人员应熟悉电厂生产。</w:t>
      </w:r>
    </w:p>
    <w:p w14:paraId="3F708B70">
      <w:pPr>
        <w:bidi w:val="0"/>
        <w:spacing w:line="360" w:lineRule="auto"/>
        <w:outlineLvl w:val="1"/>
        <w:rPr>
          <w:rFonts w:hint="eastAsia"/>
          <w:highlight w:val="none"/>
          <w:lang w:val="en-US" w:eastAsia="zh-CN"/>
        </w:rPr>
      </w:pPr>
      <w:r>
        <w:rPr>
          <w:rFonts w:hint="eastAsia"/>
          <w:lang w:val="en-US" w:eastAsia="zh-CN"/>
        </w:rPr>
        <w:t>（2）项目经理</w:t>
      </w:r>
      <w:r>
        <w:rPr>
          <w:rFonts w:hint="eastAsia"/>
          <w:highlight w:val="none"/>
          <w:lang w:val="en-US" w:eastAsia="zh-CN"/>
        </w:rPr>
        <w:t>有丰富的监控系统施工现场管理经验。</w:t>
      </w:r>
    </w:p>
    <w:p w14:paraId="2A8274E9">
      <w:pPr>
        <w:keepNext w:val="0"/>
        <w:keepLines w:val="0"/>
        <w:widowControl w:val="0"/>
        <w:suppressLineNumbers w:val="0"/>
        <w:bidi w:val="0"/>
        <w:spacing w:before="0" w:beforeAutospacing="0" w:after="0" w:afterAutospacing="0" w:line="360" w:lineRule="auto"/>
        <w:ind w:left="0" w:right="0"/>
        <w:jc w:val="both"/>
        <w:outlineLvl w:val="1"/>
        <w:rPr>
          <w:rFonts w:hint="eastAsia"/>
          <w:highlight w:val="none"/>
          <w:lang w:val="en-US" w:eastAsia="zh-CN"/>
        </w:rPr>
      </w:pPr>
      <w:r>
        <w:rPr>
          <w:rFonts w:hint="eastAsia"/>
          <w:highlight w:val="none"/>
          <w:lang w:val="en-US" w:eastAsia="zh-CN"/>
        </w:rPr>
        <w:t>（3）维护人员应熟悉系统原理和设备位置，具备网络</w:t>
      </w:r>
      <w:r>
        <w:rPr>
          <w:rFonts w:hint="eastAsia" w:ascii="宋体" w:hAnsi="宋体" w:eastAsia="宋体" w:cs="宋体"/>
          <w:kern w:val="2"/>
          <w:sz w:val="21"/>
          <w:szCs w:val="21"/>
          <w:highlight w:val="none"/>
          <w:lang w:val="en-US" w:eastAsia="zh-CN" w:bidi="ar"/>
        </w:rPr>
        <w:t>及计算机基础</w:t>
      </w:r>
      <w:r>
        <w:rPr>
          <w:rFonts w:hint="eastAsia"/>
          <w:highlight w:val="none"/>
          <w:lang w:val="en-US" w:eastAsia="zh-CN"/>
        </w:rPr>
        <w:t>知识，熟悉安全工作规程；掌握钳工、电工</w:t>
      </w:r>
      <w:r>
        <w:rPr>
          <w:rFonts w:hint="eastAsia"/>
          <w:highlight w:val="none"/>
          <w:lang w:val="en-US" w:eastAsia="zh"/>
        </w:rPr>
        <w:t>、</w:t>
      </w:r>
      <w:r>
        <w:rPr>
          <w:rFonts w:hint="eastAsia" w:ascii="宋体" w:hAnsi="宋体" w:eastAsia="宋体" w:cs="宋体"/>
          <w:kern w:val="2"/>
          <w:sz w:val="21"/>
          <w:szCs w:val="21"/>
          <w:highlight w:val="none"/>
          <w:lang w:val="en-US" w:eastAsia="zh-CN" w:bidi="ar"/>
        </w:rPr>
        <w:t>网线制作、光纤熔接、</w:t>
      </w:r>
      <w:r>
        <w:rPr>
          <w:rFonts w:hint="eastAsia" w:ascii="宋体" w:hAnsi="宋体" w:eastAsia="宋体" w:cs="宋体"/>
          <w:kern w:val="2"/>
          <w:sz w:val="21"/>
          <w:szCs w:val="21"/>
          <w:highlight w:val="none"/>
          <w:lang w:val="en-US" w:eastAsia="zh" w:bidi="ar"/>
        </w:rPr>
        <w:t>监控</w:t>
      </w:r>
      <w:r>
        <w:rPr>
          <w:rFonts w:hint="eastAsia" w:ascii="宋体" w:hAnsi="宋体" w:eastAsia="宋体" w:cs="宋体"/>
          <w:kern w:val="2"/>
          <w:sz w:val="21"/>
          <w:szCs w:val="21"/>
          <w:highlight w:val="none"/>
          <w:lang w:val="en-US" w:eastAsia="zh-CN" w:bidi="ar"/>
        </w:rPr>
        <w:t>系统维护</w:t>
      </w:r>
      <w:r>
        <w:rPr>
          <w:rFonts w:hint="eastAsia"/>
          <w:highlight w:val="none"/>
          <w:lang w:val="en-US" w:eastAsia="zh-CN"/>
        </w:rPr>
        <w:t>技能。</w:t>
      </w:r>
    </w:p>
    <w:p w14:paraId="5B976915">
      <w:pPr>
        <w:keepNext w:val="0"/>
        <w:keepLines w:val="0"/>
        <w:pageBreakBefore w:val="0"/>
        <w:widowControl w:val="0"/>
        <w:numPr>
          <w:ilvl w:val="0"/>
          <w:numId w:val="1"/>
        </w:numPr>
        <w:kinsoku/>
        <w:wordWrap/>
        <w:overflowPunct/>
        <w:topLinePunct w:val="0"/>
        <w:autoSpaceDE/>
        <w:autoSpaceDN/>
        <w:bidi w:val="0"/>
        <w:adjustRightInd/>
        <w:snapToGrid/>
        <w:spacing w:before="235" w:beforeLines="75" w:after="157" w:afterLines="50" w:line="360" w:lineRule="auto"/>
        <w:ind w:left="-420" w:firstLine="420"/>
        <w:textAlignment w:val="auto"/>
        <w:outlineLvl w:val="0"/>
        <w:rPr>
          <w:rFonts w:hint="eastAsia" w:asciiTheme="minorEastAsia" w:hAnsiTheme="minorEastAsia" w:eastAsiaTheme="minorEastAsia" w:cstheme="minorEastAsia"/>
          <w:sz w:val="21"/>
          <w:szCs w:val="21"/>
          <w:highlight w:val="none"/>
        </w:rPr>
      </w:pPr>
      <w:bookmarkStart w:id="53" w:name="_Toc19541"/>
      <w:r>
        <w:rPr>
          <w:rFonts w:hint="eastAsia" w:asciiTheme="minorEastAsia" w:hAnsiTheme="minorEastAsia" w:eastAsiaTheme="minorEastAsia" w:cstheme="minorEastAsia"/>
          <w:color w:val="auto"/>
          <w:sz w:val="21"/>
          <w:szCs w:val="21"/>
          <w:highlight w:val="none"/>
          <w:lang w:val="en-US" w:eastAsia="zh-CN"/>
        </w:rPr>
        <w:t>项目期限</w:t>
      </w:r>
      <w:bookmarkEnd w:id="53"/>
    </w:p>
    <w:p w14:paraId="087F24BB">
      <w:pPr>
        <w:snapToGrid w:val="0"/>
        <w:spacing w:line="360" w:lineRule="auto"/>
        <w:ind w:firstLine="420" w:firstLineChars="200"/>
        <w:rPr>
          <w:rFonts w:hint="eastAsia" w:asciiTheme="minorEastAsia" w:hAnsiTheme="minorEastAsia" w:eastAsiaTheme="minorEastAsia" w:cstheme="minorEastAsia"/>
          <w:bCs/>
          <w:sz w:val="21"/>
          <w:szCs w:val="21"/>
          <w:highlight w:val="yellow"/>
        </w:rPr>
      </w:pPr>
      <w:r>
        <w:rPr>
          <w:rFonts w:hint="eastAsia" w:asciiTheme="minorEastAsia" w:hAnsiTheme="minorEastAsia" w:eastAsiaTheme="minorEastAsia" w:cstheme="minorEastAsia"/>
          <w:bCs/>
          <w:sz w:val="21"/>
          <w:szCs w:val="21"/>
          <w:highlight w:val="yellow"/>
        </w:rPr>
        <w:t>本项目合同期限为三年，预计时间为2025年</w:t>
      </w:r>
      <w:r>
        <w:rPr>
          <w:rFonts w:hint="eastAsia" w:asciiTheme="minorEastAsia" w:hAnsiTheme="minorEastAsia" w:eastAsiaTheme="minorEastAsia" w:cstheme="minorEastAsia"/>
          <w:bCs/>
          <w:sz w:val="21"/>
          <w:szCs w:val="21"/>
          <w:highlight w:val="yellow"/>
          <w:lang w:val="en-US" w:eastAsia="zh-CN"/>
        </w:rPr>
        <w:t>9</w:t>
      </w:r>
      <w:r>
        <w:rPr>
          <w:rFonts w:hint="eastAsia" w:asciiTheme="minorEastAsia" w:hAnsiTheme="minorEastAsia" w:eastAsiaTheme="minorEastAsia" w:cstheme="minorEastAsia"/>
          <w:bCs/>
          <w:sz w:val="21"/>
          <w:szCs w:val="21"/>
          <w:highlight w:val="yellow"/>
        </w:rPr>
        <w:t>月1日-2028年</w:t>
      </w:r>
      <w:r>
        <w:rPr>
          <w:rFonts w:hint="eastAsia" w:asciiTheme="minorEastAsia" w:hAnsiTheme="minorEastAsia" w:eastAsiaTheme="minorEastAsia" w:cstheme="minorEastAsia"/>
          <w:bCs/>
          <w:sz w:val="21"/>
          <w:szCs w:val="21"/>
          <w:highlight w:val="yellow"/>
          <w:lang w:val="en-US" w:eastAsia="zh-CN"/>
        </w:rPr>
        <w:t>8</w:t>
      </w:r>
      <w:r>
        <w:rPr>
          <w:rFonts w:hint="eastAsia" w:asciiTheme="minorEastAsia" w:hAnsiTheme="minorEastAsia" w:eastAsiaTheme="minorEastAsia" w:cstheme="minorEastAsia"/>
          <w:bCs/>
          <w:sz w:val="21"/>
          <w:szCs w:val="21"/>
          <w:highlight w:val="yellow"/>
        </w:rPr>
        <w:t>月31日，实际以合同签订</w:t>
      </w:r>
      <w:r>
        <w:rPr>
          <w:rFonts w:hint="eastAsia" w:asciiTheme="minorEastAsia" w:hAnsiTheme="minorEastAsia" w:eastAsiaTheme="minorEastAsia" w:cstheme="minorEastAsia"/>
          <w:bCs/>
          <w:sz w:val="21"/>
          <w:szCs w:val="21"/>
          <w:highlight w:val="yellow"/>
          <w:lang w:val="en-US" w:eastAsia="zh-CN"/>
        </w:rPr>
        <w:t>时间</w:t>
      </w:r>
      <w:r>
        <w:rPr>
          <w:rFonts w:hint="eastAsia" w:asciiTheme="minorEastAsia" w:hAnsiTheme="minorEastAsia" w:eastAsiaTheme="minorEastAsia" w:cstheme="minorEastAsia"/>
          <w:bCs/>
          <w:sz w:val="21"/>
          <w:szCs w:val="21"/>
          <w:highlight w:val="yellow"/>
        </w:rPr>
        <w:t>为准。</w:t>
      </w:r>
    </w:p>
    <w:p w14:paraId="20A04E41">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62E07E89">
      <w:pPr>
        <w:pStyle w:val="2"/>
        <w:rPr>
          <w:rFonts w:hint="eastAsia"/>
        </w:rPr>
      </w:pPr>
    </w:p>
    <w:p w14:paraId="292788C7">
      <w:pPr>
        <w:pStyle w:val="4"/>
        <w:widowControl/>
        <w:tabs>
          <w:tab w:val="left" w:pos="2291"/>
        </w:tabs>
        <w:spacing w:before="0" w:beforeAutospacing="0" w:after="0" w:afterAutospacing="0" w:line="360" w:lineRule="auto"/>
        <w:ind w:left="0" w:firstLine="2409" w:firstLineChars="1000"/>
        <w:rPr>
          <w:rFonts w:hint="eastAsia" w:ascii="宋体" w:hAnsi="宋体" w:eastAsia="宋体" w:cs="宋体"/>
          <w:b/>
          <w:bCs/>
          <w:kern w:val="0"/>
          <w:sz w:val="24"/>
          <w:szCs w:val="24"/>
        </w:rPr>
      </w:pPr>
      <w:bookmarkStart w:id="54" w:name="_Toc7453"/>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r>
        <w:rPr>
          <w:rFonts w:hint="eastAsia" w:ascii="宋体" w:hAnsi="宋体" w:eastAsia="宋体" w:cs="宋体"/>
          <w:b/>
          <w:bCs/>
          <w:kern w:val="0"/>
          <w:sz w:val="24"/>
          <w:szCs w:val="24"/>
        </w:rPr>
        <w:t>外委维护单位考核评分细则</w:t>
      </w:r>
    </w:p>
    <w:p w14:paraId="1F0FAE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6DFBECF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w:t>
      </w:r>
      <w:r>
        <w:rPr>
          <w:rFonts w:hint="eastAsia" w:ascii="宋体" w:hAnsi="宋体" w:eastAsia="宋体" w:cs="宋体"/>
          <w:b/>
          <w:bCs/>
          <w:kern w:val="2"/>
          <w:sz w:val="24"/>
          <w:szCs w:val="24"/>
          <w:lang w:val="en-US" w:eastAsia="zh-CN" w:bidi="ar"/>
        </w:rPr>
        <w:t>总则</w:t>
      </w:r>
      <w:r>
        <w:rPr>
          <w:rFonts w:hint="eastAsia" w:ascii="宋体" w:hAnsi="宋体" w:eastAsia="宋体" w:cs="宋体"/>
          <w:kern w:val="2"/>
          <w:sz w:val="24"/>
          <w:szCs w:val="24"/>
          <w:lang w:val="en-US" w:eastAsia="zh-CN" w:bidi="ar"/>
        </w:rPr>
        <w:t>:为加强对外委维护单位的管理，确保外委维护项目安全、优质、按期按合同要求完成，特制定本考评细则。</w:t>
      </w:r>
    </w:p>
    <w:p w14:paraId="29AD646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w:t>
      </w:r>
      <w:r>
        <w:rPr>
          <w:rFonts w:hint="eastAsia" w:ascii="宋体" w:hAnsi="宋体" w:eastAsia="宋体" w:cs="宋体"/>
          <w:b/>
          <w:bCs/>
          <w:kern w:val="2"/>
          <w:sz w:val="24"/>
          <w:szCs w:val="24"/>
          <w:lang w:val="en-US" w:eastAsia="zh-CN" w:bidi="ar"/>
        </w:rPr>
        <w:t>原则</w:t>
      </w:r>
      <w:r>
        <w:rPr>
          <w:rFonts w:hint="eastAsia" w:ascii="宋体" w:hAnsi="宋体" w:eastAsia="宋体" w:cs="宋体"/>
          <w:kern w:val="2"/>
          <w:sz w:val="24"/>
          <w:szCs w:val="24"/>
          <w:lang w:val="en-US" w:eastAsia="zh-CN" w:bidi="ar"/>
        </w:rPr>
        <w:t>：遵循公开、公平、公正原则，客观真实反映外委维护单位履行合同情况。</w:t>
      </w:r>
    </w:p>
    <w:p w14:paraId="646EC33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w:t>
      </w:r>
      <w:r>
        <w:rPr>
          <w:rFonts w:hint="eastAsia" w:ascii="宋体" w:hAnsi="宋体" w:eastAsia="宋体" w:cs="宋体"/>
          <w:b/>
          <w:bCs/>
          <w:kern w:val="2"/>
          <w:sz w:val="24"/>
          <w:szCs w:val="24"/>
          <w:lang w:val="en-US" w:eastAsia="zh-CN" w:bidi="ar"/>
        </w:rPr>
        <w:t>适用范围</w:t>
      </w:r>
      <w:r>
        <w:rPr>
          <w:rFonts w:hint="eastAsia" w:ascii="宋体" w:hAnsi="宋体" w:eastAsia="宋体" w:cs="宋体"/>
          <w:kern w:val="2"/>
          <w:sz w:val="24"/>
          <w:szCs w:val="24"/>
          <w:lang w:val="en-US" w:eastAsia="zh-CN" w:bidi="ar"/>
        </w:rPr>
        <w:t>：适用于我公司所有外委维护项目的参与单位。</w:t>
      </w:r>
    </w:p>
    <w:p w14:paraId="6909BAF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w:t>
      </w:r>
      <w:r>
        <w:rPr>
          <w:rFonts w:hint="eastAsia" w:ascii="宋体" w:hAnsi="宋体" w:eastAsia="宋体" w:cs="宋体"/>
          <w:b/>
          <w:bCs/>
          <w:kern w:val="2"/>
          <w:sz w:val="24"/>
          <w:szCs w:val="24"/>
          <w:lang w:val="en-US" w:eastAsia="zh-CN" w:bidi="ar"/>
        </w:rPr>
        <w:t>参照标准</w:t>
      </w:r>
      <w:r>
        <w:rPr>
          <w:rFonts w:hint="eastAsia" w:ascii="宋体" w:hAnsi="宋体" w:eastAsia="宋体" w:cs="宋体"/>
          <w:kern w:val="2"/>
          <w:sz w:val="24"/>
          <w:szCs w:val="24"/>
          <w:lang w:val="en-US" w:eastAsia="zh-CN" w:bidi="ar"/>
        </w:rPr>
        <w:t>：《四川投资集团有限责任公司安全生产管理办法》、《川南发电有限责任公司安全生产管理办法》等。</w:t>
      </w:r>
    </w:p>
    <w:p w14:paraId="777682B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w:t>
      </w:r>
      <w:r>
        <w:rPr>
          <w:rFonts w:hint="eastAsia" w:ascii="宋体" w:hAnsi="宋体" w:eastAsia="宋体" w:cs="宋体"/>
          <w:b/>
          <w:bCs/>
          <w:kern w:val="2"/>
          <w:sz w:val="24"/>
          <w:szCs w:val="24"/>
          <w:lang w:val="en-US" w:eastAsia="zh-CN" w:bidi="ar"/>
        </w:rPr>
        <w:t>考评单位（人员）:</w:t>
      </w:r>
      <w:r>
        <w:rPr>
          <w:rFonts w:hint="eastAsia" w:ascii="宋体" w:hAnsi="宋体" w:eastAsia="宋体" w:cs="宋体"/>
          <w:kern w:val="2"/>
          <w:sz w:val="24"/>
          <w:szCs w:val="24"/>
          <w:lang w:val="en-US" w:eastAsia="zh-CN" w:bidi="ar"/>
        </w:rPr>
        <w:t xml:space="preserve"> 公司分管生产领导、计划经营部、生产技术部、安全监察部、发电部、设备维修部、综合事务部、燃煤质检部等共计10-15名人员参评。</w:t>
      </w:r>
    </w:p>
    <w:p w14:paraId="3665163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w:t>
      </w:r>
      <w:r>
        <w:rPr>
          <w:rFonts w:hint="eastAsia" w:ascii="宋体" w:hAnsi="宋体" w:eastAsia="宋体" w:cs="宋体"/>
          <w:b/>
          <w:bCs/>
          <w:kern w:val="2"/>
          <w:sz w:val="24"/>
          <w:szCs w:val="24"/>
          <w:lang w:val="en-US" w:eastAsia="zh-CN" w:bidi="ar"/>
        </w:rPr>
        <w:t>考评方式及等级：</w:t>
      </w:r>
      <w:r>
        <w:rPr>
          <w:rFonts w:hint="eastAsia" w:ascii="宋体" w:hAnsi="宋体" w:eastAsia="宋体" w:cs="宋体"/>
          <w:kern w:val="2"/>
          <w:sz w:val="24"/>
          <w:szCs w:val="24"/>
          <w:lang w:val="en-US" w:eastAsia="zh-CN" w:bidi="ar"/>
        </w:rPr>
        <w:t>为客观反映外委维护项目参与单位的工作,本考评的计分方式为去掉一个最高分和一个最低分，最后的平均分即为该单位得分。考评分优、良、基本合格、不合格四个等级。其中，95分及以上为优；80～95分为良（不含95分）；60～80分为基本合格（不含80分）；60分以下为不合格。</w:t>
      </w:r>
    </w:p>
    <w:p w14:paraId="40C3038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w:t>
      </w:r>
      <w:r>
        <w:rPr>
          <w:rFonts w:hint="eastAsia" w:ascii="宋体" w:hAnsi="宋体" w:eastAsia="宋体" w:cs="宋体"/>
          <w:b/>
          <w:bCs/>
          <w:kern w:val="2"/>
          <w:sz w:val="24"/>
          <w:szCs w:val="24"/>
          <w:lang w:val="en-US" w:eastAsia="zh-CN" w:bidi="ar"/>
        </w:rPr>
        <w:t>项目保证金支付标准</w:t>
      </w:r>
      <w:r>
        <w:rPr>
          <w:rFonts w:hint="eastAsia" w:ascii="宋体" w:hAnsi="宋体" w:eastAsia="宋体" w:cs="宋体"/>
          <w:kern w:val="2"/>
          <w:sz w:val="24"/>
          <w:szCs w:val="24"/>
          <w:lang w:val="en-US" w:eastAsia="zh-CN" w:bidi="ar"/>
        </w:rPr>
        <w:t>：每季度在支付项目保证金前2周，由公司组织相关部门进行联合考评。项目保证金支付标准依据考评等级，按该级项目保证金支付标准支付（详见下表）。</w:t>
      </w:r>
    </w:p>
    <w:tbl>
      <w:tblPr>
        <w:tblStyle w:val="14"/>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350"/>
        <w:gridCol w:w="1621"/>
        <w:gridCol w:w="1808"/>
        <w:gridCol w:w="1883"/>
        <w:gridCol w:w="1857"/>
      </w:tblGrid>
      <w:tr w14:paraId="16651D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19" w:hRule="atLeast"/>
          <w:jc w:val="center"/>
        </w:trPr>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1818C1A2">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考核等级</w:t>
            </w:r>
          </w:p>
        </w:tc>
        <w:tc>
          <w:tcPr>
            <w:tcW w:w="951" w:type="pct"/>
            <w:tcBorders>
              <w:top w:val="single" w:color="auto" w:sz="4" w:space="0"/>
              <w:left w:val="nil"/>
              <w:bottom w:val="single" w:color="auto" w:sz="4" w:space="0"/>
              <w:right w:val="single" w:color="auto" w:sz="4" w:space="0"/>
            </w:tcBorders>
            <w:shd w:val="clear" w:color="auto" w:fill="auto"/>
            <w:vAlign w:val="center"/>
          </w:tcPr>
          <w:p w14:paraId="4D3C68D1">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优</w:t>
            </w:r>
            <w:r>
              <w:rPr>
                <w:rFonts w:hint="eastAsia" w:ascii="宋体" w:hAnsi="宋体" w:eastAsia="宋体" w:cs="宋体"/>
                <w:b/>
                <w:bCs/>
                <w:kern w:val="2"/>
                <w:sz w:val="21"/>
                <w:szCs w:val="21"/>
                <w:lang w:val="en-US" w:eastAsia="zh-CN" w:bidi="ar"/>
              </w:rPr>
              <w:t>≧</w:t>
            </w:r>
            <w:r>
              <w:rPr>
                <w:rFonts w:hint="eastAsia" w:ascii="宋体" w:hAnsi="宋体" w:eastAsia="宋体" w:cs="宋体"/>
                <w:kern w:val="2"/>
                <w:sz w:val="21"/>
                <w:szCs w:val="21"/>
                <w:lang w:val="en-US" w:eastAsia="zh-CN" w:bidi="ar"/>
              </w:rPr>
              <w:t>95分</w:t>
            </w:r>
          </w:p>
        </w:tc>
        <w:tc>
          <w:tcPr>
            <w:tcW w:w="1061" w:type="pct"/>
            <w:tcBorders>
              <w:top w:val="single" w:color="auto" w:sz="4" w:space="0"/>
              <w:left w:val="nil"/>
              <w:bottom w:val="single" w:color="auto" w:sz="4" w:space="0"/>
              <w:right w:val="single" w:color="auto" w:sz="4" w:space="0"/>
            </w:tcBorders>
            <w:shd w:val="clear" w:color="auto" w:fill="auto"/>
            <w:vAlign w:val="center"/>
          </w:tcPr>
          <w:p w14:paraId="58202072">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80分≤良</w:t>
            </w:r>
            <w:r>
              <w:rPr>
                <w:rFonts w:hint="eastAsia" w:ascii="宋体" w:hAnsi="宋体" w:eastAsia="宋体" w:cs="宋体"/>
                <w:b/>
                <w:bCs/>
                <w:kern w:val="2"/>
                <w:sz w:val="21"/>
                <w:szCs w:val="21"/>
                <w:lang w:val="en-US" w:eastAsia="zh-CN" w:bidi="ar"/>
              </w:rPr>
              <w:t>&lt;</w:t>
            </w:r>
            <w:r>
              <w:rPr>
                <w:rFonts w:hint="eastAsia" w:ascii="宋体" w:hAnsi="宋体" w:eastAsia="宋体" w:cs="宋体"/>
                <w:kern w:val="2"/>
                <w:sz w:val="21"/>
                <w:szCs w:val="21"/>
                <w:lang w:val="en-US" w:eastAsia="zh-CN" w:bidi="ar"/>
              </w:rPr>
              <w:t>95分</w:t>
            </w:r>
          </w:p>
        </w:tc>
        <w:tc>
          <w:tcPr>
            <w:tcW w:w="1105" w:type="pct"/>
            <w:tcBorders>
              <w:top w:val="single" w:color="auto" w:sz="4" w:space="0"/>
              <w:left w:val="nil"/>
              <w:bottom w:val="single" w:color="auto" w:sz="4" w:space="0"/>
              <w:right w:val="single" w:color="auto" w:sz="4" w:space="0"/>
            </w:tcBorders>
            <w:shd w:val="clear" w:color="auto" w:fill="auto"/>
            <w:vAlign w:val="center"/>
          </w:tcPr>
          <w:p w14:paraId="20C42CC2">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60≤基本合格</w:t>
            </w:r>
            <w:r>
              <w:rPr>
                <w:rFonts w:hint="eastAsia" w:ascii="宋体" w:hAnsi="宋体" w:eastAsia="宋体" w:cs="宋体"/>
                <w:b/>
                <w:bCs/>
                <w:kern w:val="2"/>
                <w:sz w:val="21"/>
                <w:szCs w:val="21"/>
                <w:lang w:val="en-US" w:eastAsia="zh-CN" w:bidi="ar"/>
              </w:rPr>
              <w:t>&lt;</w:t>
            </w:r>
            <w:r>
              <w:rPr>
                <w:rFonts w:hint="eastAsia" w:ascii="宋体" w:hAnsi="宋体" w:eastAsia="宋体" w:cs="宋体"/>
                <w:kern w:val="2"/>
                <w:sz w:val="21"/>
                <w:szCs w:val="21"/>
                <w:lang w:val="en-US" w:eastAsia="zh-CN" w:bidi="ar"/>
              </w:rPr>
              <w:t>80分</w:t>
            </w:r>
          </w:p>
        </w:tc>
        <w:tc>
          <w:tcPr>
            <w:tcW w:w="1089" w:type="pct"/>
            <w:tcBorders>
              <w:top w:val="single" w:color="auto" w:sz="4" w:space="0"/>
              <w:left w:val="nil"/>
              <w:bottom w:val="single" w:color="auto" w:sz="4" w:space="0"/>
              <w:right w:val="single" w:color="auto" w:sz="4" w:space="0"/>
            </w:tcBorders>
            <w:shd w:val="clear" w:color="auto" w:fill="auto"/>
            <w:vAlign w:val="center"/>
          </w:tcPr>
          <w:p w14:paraId="6EE40F7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不合格&lt;60分</w:t>
            </w:r>
          </w:p>
        </w:tc>
      </w:tr>
      <w:tr w14:paraId="3E5C4F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34" w:hRule="atLeast"/>
          <w:jc w:val="center"/>
        </w:trPr>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465817E0">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支付标准</w:t>
            </w:r>
          </w:p>
        </w:tc>
        <w:tc>
          <w:tcPr>
            <w:tcW w:w="951" w:type="pct"/>
            <w:tcBorders>
              <w:top w:val="single" w:color="auto" w:sz="4" w:space="0"/>
              <w:left w:val="nil"/>
              <w:bottom w:val="single" w:color="auto" w:sz="4" w:space="0"/>
              <w:right w:val="single" w:color="auto" w:sz="4" w:space="0"/>
            </w:tcBorders>
            <w:shd w:val="clear" w:color="auto" w:fill="auto"/>
            <w:vAlign w:val="center"/>
          </w:tcPr>
          <w:p w14:paraId="393CAC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100%</w:t>
            </w:r>
          </w:p>
        </w:tc>
        <w:tc>
          <w:tcPr>
            <w:tcW w:w="1061" w:type="pct"/>
            <w:tcBorders>
              <w:top w:val="single" w:color="auto" w:sz="4" w:space="0"/>
              <w:left w:val="nil"/>
              <w:bottom w:val="single" w:color="auto" w:sz="4" w:space="0"/>
              <w:right w:val="single" w:color="auto" w:sz="4" w:space="0"/>
            </w:tcBorders>
            <w:shd w:val="clear" w:color="auto" w:fill="auto"/>
            <w:vAlign w:val="center"/>
          </w:tcPr>
          <w:p w14:paraId="0BB98B0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应付金额×考评分数%</w:t>
            </w:r>
          </w:p>
        </w:tc>
        <w:tc>
          <w:tcPr>
            <w:tcW w:w="1105" w:type="pct"/>
            <w:tcBorders>
              <w:top w:val="single" w:color="auto" w:sz="4" w:space="0"/>
              <w:left w:val="nil"/>
              <w:bottom w:val="single" w:color="auto" w:sz="4" w:space="0"/>
              <w:right w:val="single" w:color="auto" w:sz="4" w:space="0"/>
            </w:tcBorders>
            <w:shd w:val="clear" w:color="auto" w:fill="auto"/>
            <w:vAlign w:val="center"/>
          </w:tcPr>
          <w:p w14:paraId="64F25E1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应付金额×考评分数%</w:t>
            </w:r>
          </w:p>
        </w:tc>
        <w:tc>
          <w:tcPr>
            <w:tcW w:w="1089" w:type="pct"/>
            <w:tcBorders>
              <w:top w:val="single" w:color="auto" w:sz="4" w:space="0"/>
              <w:left w:val="nil"/>
              <w:bottom w:val="single" w:color="auto" w:sz="4" w:space="0"/>
              <w:right w:val="single" w:color="auto" w:sz="4" w:space="0"/>
            </w:tcBorders>
            <w:shd w:val="clear" w:color="auto" w:fill="auto"/>
            <w:vAlign w:val="center"/>
          </w:tcPr>
          <w:p w14:paraId="6CB14FF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0%</w:t>
            </w:r>
          </w:p>
        </w:tc>
      </w:tr>
    </w:tbl>
    <w:p w14:paraId="4ACF32A2">
      <w:pPr>
        <w:keepNext w:val="0"/>
        <w:keepLines w:val="0"/>
        <w:widowControl w:val="0"/>
        <w:suppressLineNumbers w:val="0"/>
        <w:spacing w:before="0" w:beforeAutospacing="0" w:after="0" w:afterAutospacing="0"/>
        <w:ind w:left="0" w:right="0" w:firstLine="570"/>
        <w:jc w:val="both"/>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2"/>
          <w:sz w:val="24"/>
          <w:szCs w:val="24"/>
          <w:lang w:val="en-US" w:eastAsia="zh-CN" w:bidi="ar"/>
        </w:rPr>
        <w:t xml:space="preserve"> </w:t>
      </w:r>
    </w:p>
    <w:p w14:paraId="6413092B">
      <w:pPr>
        <w:keepNext w:val="0"/>
        <w:keepLines w:val="0"/>
        <w:widowControl w:val="0"/>
        <w:suppressLineNumbers w:val="0"/>
        <w:spacing w:before="0" w:beforeAutospacing="0" w:after="0" w:afterAutospacing="0"/>
        <w:ind w:left="2951" w:right="0" w:hanging="2940" w:hangingChars="1225"/>
        <w:jc w:val="both"/>
        <w:rPr>
          <w:rFonts w:hint="eastAsia" w:ascii="宋体" w:hAnsi="宋体" w:eastAsia="宋体" w:cs="宋体"/>
          <w:b/>
          <w:bCs/>
          <w:kern w:val="2"/>
          <w:sz w:val="24"/>
          <w:szCs w:val="24"/>
        </w:rPr>
      </w:pPr>
      <w:r>
        <w:rPr>
          <w:rFonts w:hint="eastAsia" w:ascii="宋体" w:hAnsi="宋体" w:eastAsia="宋体" w:cs="宋体"/>
          <w:b w:val="0"/>
          <w:bCs w:val="0"/>
          <w:kern w:val="2"/>
          <w:sz w:val="24"/>
          <w:szCs w:val="24"/>
          <w:lang w:val="en-US" w:eastAsia="zh-CN" w:bidi="ar"/>
        </w:rPr>
        <w:t>8.</w:t>
      </w:r>
      <w:r>
        <w:rPr>
          <w:rFonts w:hint="eastAsia" w:ascii="宋体" w:hAnsi="宋体" w:eastAsia="宋体" w:cs="宋体"/>
          <w:b/>
          <w:bCs/>
          <w:kern w:val="2"/>
          <w:sz w:val="24"/>
          <w:szCs w:val="24"/>
          <w:lang w:val="en-US" w:eastAsia="zh-CN" w:bidi="ar"/>
        </w:rPr>
        <w:t>考评打分表</w:t>
      </w:r>
    </w:p>
    <w:tbl>
      <w:tblPr>
        <w:tblStyle w:val="1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833"/>
        <w:gridCol w:w="5447"/>
        <w:gridCol w:w="564"/>
        <w:gridCol w:w="567"/>
        <w:gridCol w:w="595"/>
      </w:tblGrid>
      <w:tr w14:paraId="20CA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jc w:val="cent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1D90F693">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序号</w:t>
            </w:r>
          </w:p>
        </w:tc>
        <w:tc>
          <w:tcPr>
            <w:tcW w:w="489" w:type="pct"/>
            <w:tcBorders>
              <w:top w:val="single" w:color="auto" w:sz="4" w:space="0"/>
              <w:left w:val="nil"/>
              <w:bottom w:val="single" w:color="auto" w:sz="4" w:space="0"/>
              <w:right w:val="single" w:color="auto" w:sz="4" w:space="0"/>
            </w:tcBorders>
            <w:shd w:val="clear" w:color="auto" w:fill="auto"/>
            <w:vAlign w:val="center"/>
          </w:tcPr>
          <w:p w14:paraId="61520E8C">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类别</w:t>
            </w:r>
          </w:p>
        </w:tc>
        <w:tc>
          <w:tcPr>
            <w:tcW w:w="3196" w:type="pct"/>
            <w:tcBorders>
              <w:top w:val="single" w:color="auto" w:sz="4" w:space="0"/>
              <w:left w:val="nil"/>
              <w:bottom w:val="single" w:color="auto" w:sz="4" w:space="0"/>
              <w:right w:val="single" w:color="auto" w:sz="4" w:space="0"/>
            </w:tcBorders>
            <w:shd w:val="clear" w:color="auto" w:fill="auto"/>
            <w:vAlign w:val="center"/>
          </w:tcPr>
          <w:p w14:paraId="020DD886">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内容</w:t>
            </w:r>
          </w:p>
        </w:tc>
        <w:tc>
          <w:tcPr>
            <w:tcW w:w="331" w:type="pct"/>
            <w:tcBorders>
              <w:top w:val="single" w:color="auto" w:sz="4" w:space="0"/>
              <w:left w:val="nil"/>
              <w:bottom w:val="single" w:color="auto" w:sz="4" w:space="0"/>
              <w:right w:val="single" w:color="auto" w:sz="4" w:space="0"/>
            </w:tcBorders>
            <w:shd w:val="clear" w:color="auto" w:fill="auto"/>
            <w:vAlign w:val="center"/>
          </w:tcPr>
          <w:p w14:paraId="34C53118">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权重</w:t>
            </w:r>
          </w:p>
        </w:tc>
        <w:tc>
          <w:tcPr>
            <w:tcW w:w="331" w:type="pct"/>
            <w:tcBorders>
              <w:top w:val="single" w:color="auto" w:sz="4" w:space="0"/>
              <w:left w:val="nil"/>
              <w:bottom w:val="single" w:color="auto" w:sz="4" w:space="0"/>
              <w:right w:val="single" w:color="auto" w:sz="4" w:space="0"/>
            </w:tcBorders>
            <w:shd w:val="clear" w:color="auto" w:fill="auto"/>
            <w:vAlign w:val="center"/>
          </w:tcPr>
          <w:p w14:paraId="403B6689">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扣分</w:t>
            </w:r>
          </w:p>
        </w:tc>
        <w:tc>
          <w:tcPr>
            <w:tcW w:w="349" w:type="pct"/>
            <w:tcBorders>
              <w:top w:val="single" w:color="auto" w:sz="4" w:space="0"/>
              <w:left w:val="nil"/>
              <w:bottom w:val="single" w:color="auto" w:sz="4" w:space="0"/>
              <w:right w:val="single" w:color="auto" w:sz="4" w:space="0"/>
            </w:tcBorders>
            <w:shd w:val="clear" w:color="auto" w:fill="auto"/>
            <w:vAlign w:val="center"/>
          </w:tcPr>
          <w:p w14:paraId="3DA39258">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备注</w:t>
            </w:r>
          </w:p>
        </w:tc>
      </w:tr>
      <w:tr w14:paraId="5B27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23621696">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一</w:t>
            </w:r>
          </w:p>
        </w:tc>
        <w:tc>
          <w:tcPr>
            <w:tcW w:w="4349" w:type="pct"/>
            <w:gridSpan w:val="4"/>
            <w:tcBorders>
              <w:top w:val="single" w:color="auto" w:sz="4" w:space="0"/>
              <w:left w:val="nil"/>
              <w:bottom w:val="single" w:color="auto" w:sz="4" w:space="0"/>
              <w:right w:val="single" w:color="auto" w:sz="4" w:space="0"/>
            </w:tcBorders>
            <w:shd w:val="clear" w:color="auto" w:fill="auto"/>
            <w:vAlign w:val="center"/>
          </w:tcPr>
          <w:p w14:paraId="23C0668B">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21"/>
                <w:szCs w:val="21"/>
              </w:rPr>
            </w:pPr>
            <w:r>
              <w:rPr>
                <w:rFonts w:hint="eastAsia" w:ascii="宋体" w:hAnsi="宋体" w:eastAsia="宋体" w:cs="宋体"/>
                <w:b/>
                <w:bCs w:val="0"/>
                <w:kern w:val="0"/>
                <w:sz w:val="21"/>
                <w:szCs w:val="21"/>
                <w:lang w:val="en-US" w:eastAsia="zh-CN" w:bidi="ar"/>
              </w:rPr>
              <w:t>公用部分</w:t>
            </w:r>
          </w:p>
        </w:tc>
        <w:tc>
          <w:tcPr>
            <w:tcW w:w="349" w:type="pct"/>
            <w:tcBorders>
              <w:top w:val="single" w:color="auto" w:sz="4" w:space="0"/>
              <w:left w:val="nil"/>
              <w:bottom w:val="single" w:color="auto" w:sz="4" w:space="0"/>
              <w:right w:val="single" w:color="auto" w:sz="4" w:space="0"/>
            </w:tcBorders>
            <w:shd w:val="clear" w:color="auto" w:fill="auto"/>
            <w:vAlign w:val="top"/>
          </w:tcPr>
          <w:p w14:paraId="2DA59BF2">
            <w:pPr>
              <w:keepNext w:val="0"/>
              <w:keepLines w:val="0"/>
              <w:widowControl/>
              <w:suppressLineNumbers w:val="0"/>
              <w:spacing w:before="0" w:beforeAutospacing="0" w:after="0" w:afterAutospacing="0"/>
              <w:ind w:left="0" w:right="0"/>
              <w:jc w:val="both"/>
              <w:rPr>
                <w:rFonts w:hint="eastAsia" w:ascii="宋体" w:hAnsi="宋体" w:eastAsia="宋体" w:cs="宋体"/>
                <w:b/>
                <w:bCs w:val="0"/>
                <w:kern w:val="0"/>
                <w:sz w:val="21"/>
                <w:szCs w:val="21"/>
              </w:rPr>
            </w:pPr>
          </w:p>
        </w:tc>
      </w:tr>
      <w:tr w14:paraId="2198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301" w:type="pct"/>
            <w:tcBorders>
              <w:top w:val="nil"/>
              <w:left w:val="single" w:color="auto" w:sz="4" w:space="0"/>
              <w:bottom w:val="single" w:color="auto" w:sz="4" w:space="0"/>
              <w:right w:val="single" w:color="auto" w:sz="4" w:space="0"/>
            </w:tcBorders>
            <w:shd w:val="clear" w:color="auto" w:fill="auto"/>
            <w:vAlign w:val="center"/>
          </w:tcPr>
          <w:p w14:paraId="3D68FD3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489" w:type="pct"/>
            <w:tcBorders>
              <w:top w:val="nil"/>
              <w:left w:val="nil"/>
              <w:bottom w:val="single" w:color="auto" w:sz="4" w:space="0"/>
              <w:right w:val="single" w:color="auto" w:sz="4" w:space="0"/>
            </w:tcBorders>
            <w:shd w:val="clear" w:color="auto" w:fill="auto"/>
            <w:vAlign w:val="center"/>
          </w:tcPr>
          <w:p w14:paraId="0E831A8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组织机构</w:t>
            </w:r>
          </w:p>
        </w:tc>
        <w:tc>
          <w:tcPr>
            <w:tcW w:w="3196" w:type="pct"/>
            <w:tcBorders>
              <w:top w:val="nil"/>
              <w:left w:val="nil"/>
              <w:bottom w:val="single" w:color="auto" w:sz="4" w:space="0"/>
              <w:right w:val="single" w:color="auto" w:sz="4" w:space="0"/>
            </w:tcBorders>
            <w:shd w:val="clear" w:color="auto" w:fill="auto"/>
            <w:vAlign w:val="center"/>
          </w:tcPr>
          <w:p w14:paraId="6C60D9F0">
            <w:pPr>
              <w:keepNext w:val="0"/>
              <w:keepLines w:val="0"/>
              <w:widowControl/>
              <w:numPr>
                <w:ilvl w:val="0"/>
                <w:numId w:val="4"/>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项目管理及技术专业人员合符技术规范书要求。人数满足合同要求，具备上岗资格，合同规定人数高于10人的，每缺1人扣3分；合同规定人数低于10人的，每缺1人扣5分。不具备资质每人扣2分。</w:t>
            </w:r>
          </w:p>
          <w:p w14:paraId="4F86C55C">
            <w:pPr>
              <w:keepNext w:val="0"/>
              <w:keepLines w:val="0"/>
              <w:widowControl/>
              <w:numPr>
                <w:ilvl w:val="0"/>
                <w:numId w:val="4"/>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项目管理及技术人员应坚守现场，离开现场应请假，每人每月在现场少于21天，扣3分。</w:t>
            </w:r>
          </w:p>
          <w:p w14:paraId="08AADAFC">
            <w:pPr>
              <w:keepNext w:val="0"/>
              <w:keepLines w:val="0"/>
              <w:widowControl/>
              <w:numPr>
                <w:ilvl w:val="0"/>
                <w:numId w:val="4"/>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项目部应建立安全、质量管理等保证体系，做到分工明确，职责落实，否则扣5分。</w:t>
            </w:r>
          </w:p>
        </w:tc>
        <w:tc>
          <w:tcPr>
            <w:tcW w:w="331" w:type="pct"/>
            <w:tcBorders>
              <w:top w:val="nil"/>
              <w:left w:val="nil"/>
              <w:bottom w:val="single" w:color="auto" w:sz="4" w:space="0"/>
              <w:right w:val="single" w:color="auto" w:sz="4" w:space="0"/>
            </w:tcBorders>
            <w:shd w:val="clear" w:color="auto" w:fill="auto"/>
            <w:vAlign w:val="center"/>
          </w:tcPr>
          <w:p w14:paraId="5961FB8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10</w:t>
            </w:r>
          </w:p>
        </w:tc>
        <w:tc>
          <w:tcPr>
            <w:tcW w:w="331" w:type="pct"/>
            <w:tcBorders>
              <w:top w:val="single" w:color="auto" w:sz="4" w:space="0"/>
              <w:left w:val="nil"/>
              <w:bottom w:val="single" w:color="auto" w:sz="4" w:space="0"/>
              <w:right w:val="single" w:color="auto" w:sz="4" w:space="0"/>
            </w:tcBorders>
            <w:shd w:val="clear" w:color="auto" w:fill="auto"/>
            <w:vAlign w:val="top"/>
          </w:tcPr>
          <w:p w14:paraId="4F1F07AE">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nil"/>
              <w:left w:val="nil"/>
              <w:bottom w:val="single" w:color="auto" w:sz="4" w:space="0"/>
              <w:right w:val="single" w:color="auto" w:sz="4" w:space="0"/>
            </w:tcBorders>
            <w:shd w:val="clear" w:color="auto" w:fill="auto"/>
            <w:vAlign w:val="bottom"/>
          </w:tcPr>
          <w:p w14:paraId="0F3B56B2">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482C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301" w:type="pct"/>
            <w:tcBorders>
              <w:top w:val="nil"/>
              <w:left w:val="single" w:color="auto" w:sz="4" w:space="0"/>
              <w:bottom w:val="single" w:color="auto" w:sz="4" w:space="0"/>
              <w:right w:val="single" w:color="auto" w:sz="4" w:space="0"/>
            </w:tcBorders>
            <w:shd w:val="clear" w:color="auto" w:fill="auto"/>
            <w:vAlign w:val="center"/>
          </w:tcPr>
          <w:p w14:paraId="66D1884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w:t>
            </w:r>
          </w:p>
        </w:tc>
        <w:tc>
          <w:tcPr>
            <w:tcW w:w="489" w:type="pct"/>
            <w:tcBorders>
              <w:top w:val="nil"/>
              <w:left w:val="nil"/>
              <w:bottom w:val="single" w:color="auto" w:sz="4" w:space="0"/>
              <w:right w:val="single" w:color="auto" w:sz="4" w:space="0"/>
            </w:tcBorders>
            <w:shd w:val="clear" w:color="auto" w:fill="auto"/>
            <w:vAlign w:val="center"/>
          </w:tcPr>
          <w:p w14:paraId="6290399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制度建设</w:t>
            </w:r>
          </w:p>
        </w:tc>
        <w:tc>
          <w:tcPr>
            <w:tcW w:w="3196" w:type="pct"/>
            <w:tcBorders>
              <w:top w:val="nil"/>
              <w:left w:val="nil"/>
              <w:bottom w:val="single" w:color="auto" w:sz="4" w:space="0"/>
              <w:right w:val="single" w:color="auto" w:sz="4" w:space="0"/>
            </w:tcBorders>
            <w:shd w:val="clear" w:color="auto" w:fill="auto"/>
            <w:vAlign w:val="center"/>
          </w:tcPr>
          <w:p w14:paraId="3C65AD92">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项目部应建立基本管理制度，并结合川南发电公司建立相应管理制度，规范项目部管理。检查发现项目部未建立相关管理制度的，扣5分，制度不全的扣1-4分。</w:t>
            </w:r>
          </w:p>
        </w:tc>
        <w:tc>
          <w:tcPr>
            <w:tcW w:w="331" w:type="pct"/>
            <w:tcBorders>
              <w:top w:val="nil"/>
              <w:left w:val="nil"/>
              <w:bottom w:val="single" w:color="auto" w:sz="4" w:space="0"/>
              <w:right w:val="single" w:color="auto" w:sz="4" w:space="0"/>
            </w:tcBorders>
            <w:shd w:val="clear" w:color="auto" w:fill="auto"/>
            <w:vAlign w:val="center"/>
          </w:tcPr>
          <w:p w14:paraId="52EBA8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w:t>
            </w:r>
          </w:p>
        </w:tc>
        <w:tc>
          <w:tcPr>
            <w:tcW w:w="331" w:type="pct"/>
            <w:tcBorders>
              <w:top w:val="single" w:color="auto" w:sz="4" w:space="0"/>
              <w:left w:val="nil"/>
              <w:bottom w:val="single" w:color="auto" w:sz="4" w:space="0"/>
              <w:right w:val="single" w:color="auto" w:sz="4" w:space="0"/>
            </w:tcBorders>
            <w:shd w:val="clear" w:color="auto" w:fill="auto"/>
            <w:vAlign w:val="top"/>
          </w:tcPr>
          <w:p w14:paraId="1FC3DE71">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nil"/>
              <w:left w:val="nil"/>
              <w:bottom w:val="single" w:color="auto" w:sz="4" w:space="0"/>
              <w:right w:val="single" w:color="auto" w:sz="4" w:space="0"/>
            </w:tcBorders>
            <w:shd w:val="clear" w:color="auto" w:fill="auto"/>
            <w:vAlign w:val="bottom"/>
          </w:tcPr>
          <w:p w14:paraId="39906199">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27DA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301" w:type="pct"/>
            <w:tcBorders>
              <w:top w:val="nil"/>
              <w:left w:val="single" w:color="auto" w:sz="4" w:space="0"/>
              <w:bottom w:val="single" w:color="auto" w:sz="4" w:space="0"/>
              <w:right w:val="single" w:color="auto" w:sz="4" w:space="0"/>
            </w:tcBorders>
            <w:shd w:val="clear" w:color="auto" w:fill="auto"/>
            <w:vAlign w:val="center"/>
          </w:tcPr>
          <w:p w14:paraId="2A3607E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w:t>
            </w:r>
          </w:p>
        </w:tc>
        <w:tc>
          <w:tcPr>
            <w:tcW w:w="489" w:type="pct"/>
            <w:tcBorders>
              <w:top w:val="nil"/>
              <w:left w:val="nil"/>
              <w:bottom w:val="single" w:color="auto" w:sz="4" w:space="0"/>
              <w:right w:val="single" w:color="auto" w:sz="4" w:space="0"/>
            </w:tcBorders>
            <w:shd w:val="clear" w:color="auto" w:fill="auto"/>
            <w:vAlign w:val="center"/>
          </w:tcPr>
          <w:p w14:paraId="30F701C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工器具</w:t>
            </w:r>
          </w:p>
        </w:tc>
        <w:tc>
          <w:tcPr>
            <w:tcW w:w="3196" w:type="pct"/>
            <w:tcBorders>
              <w:top w:val="nil"/>
              <w:left w:val="nil"/>
              <w:bottom w:val="single" w:color="auto" w:sz="4" w:space="0"/>
              <w:right w:val="single" w:color="auto" w:sz="4" w:space="0"/>
            </w:tcBorders>
            <w:shd w:val="clear" w:color="auto" w:fill="auto"/>
            <w:vAlign w:val="center"/>
          </w:tcPr>
          <w:p w14:paraId="426C478B">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工器具配置应满足现场维护要求。否则视情况扣1-5分。</w:t>
            </w:r>
          </w:p>
        </w:tc>
        <w:tc>
          <w:tcPr>
            <w:tcW w:w="331" w:type="pct"/>
            <w:tcBorders>
              <w:top w:val="nil"/>
              <w:left w:val="nil"/>
              <w:bottom w:val="single" w:color="auto" w:sz="4" w:space="0"/>
              <w:right w:val="single" w:color="auto" w:sz="4" w:space="0"/>
            </w:tcBorders>
            <w:shd w:val="clear" w:color="auto" w:fill="auto"/>
            <w:vAlign w:val="center"/>
          </w:tcPr>
          <w:p w14:paraId="59BDEE5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w:t>
            </w:r>
          </w:p>
        </w:tc>
        <w:tc>
          <w:tcPr>
            <w:tcW w:w="331" w:type="pct"/>
            <w:tcBorders>
              <w:top w:val="single" w:color="auto" w:sz="4" w:space="0"/>
              <w:left w:val="nil"/>
              <w:bottom w:val="single" w:color="auto" w:sz="4" w:space="0"/>
              <w:right w:val="single" w:color="auto" w:sz="4" w:space="0"/>
            </w:tcBorders>
            <w:shd w:val="clear" w:color="auto" w:fill="auto"/>
            <w:vAlign w:val="top"/>
          </w:tcPr>
          <w:p w14:paraId="1EACF693">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nil"/>
              <w:left w:val="nil"/>
              <w:bottom w:val="single" w:color="auto" w:sz="4" w:space="0"/>
              <w:right w:val="single" w:color="auto" w:sz="4" w:space="0"/>
            </w:tcBorders>
            <w:shd w:val="clear" w:color="auto" w:fill="auto"/>
            <w:vAlign w:val="bottom"/>
          </w:tcPr>
          <w:p w14:paraId="261261A9">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038E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301" w:type="pct"/>
            <w:tcBorders>
              <w:top w:val="nil"/>
              <w:left w:val="single" w:color="auto" w:sz="4" w:space="0"/>
              <w:bottom w:val="single" w:color="auto" w:sz="4" w:space="0"/>
              <w:right w:val="single" w:color="auto" w:sz="4" w:space="0"/>
            </w:tcBorders>
            <w:shd w:val="clear" w:color="auto" w:fill="auto"/>
            <w:vAlign w:val="center"/>
          </w:tcPr>
          <w:p w14:paraId="2DBC5DD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w:t>
            </w:r>
          </w:p>
        </w:tc>
        <w:tc>
          <w:tcPr>
            <w:tcW w:w="489" w:type="pct"/>
            <w:tcBorders>
              <w:top w:val="nil"/>
              <w:left w:val="nil"/>
              <w:bottom w:val="single" w:color="auto" w:sz="4" w:space="0"/>
              <w:right w:val="single" w:color="auto" w:sz="4" w:space="0"/>
            </w:tcBorders>
            <w:shd w:val="clear" w:color="auto" w:fill="auto"/>
            <w:vAlign w:val="center"/>
          </w:tcPr>
          <w:p w14:paraId="647C765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项目管理</w:t>
            </w:r>
          </w:p>
        </w:tc>
        <w:tc>
          <w:tcPr>
            <w:tcW w:w="3196" w:type="pct"/>
            <w:tcBorders>
              <w:top w:val="nil"/>
              <w:left w:val="nil"/>
              <w:bottom w:val="single" w:color="auto" w:sz="4" w:space="0"/>
              <w:right w:val="single" w:color="auto" w:sz="4" w:space="0"/>
            </w:tcBorders>
            <w:shd w:val="clear" w:color="auto" w:fill="auto"/>
            <w:vAlign w:val="center"/>
          </w:tcPr>
          <w:p w14:paraId="746793BA">
            <w:pPr>
              <w:keepNext w:val="0"/>
              <w:keepLines w:val="0"/>
              <w:widowControl/>
              <w:numPr>
                <w:ilvl w:val="0"/>
                <w:numId w:val="5"/>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严格遵守、执行比选人的各项管理规章制度，凡违反规定，每发生1次扣2分。</w:t>
            </w:r>
          </w:p>
          <w:p w14:paraId="5A844E71">
            <w:pPr>
              <w:keepNext w:val="0"/>
              <w:keepLines w:val="0"/>
              <w:widowControl/>
              <w:numPr>
                <w:ilvl w:val="0"/>
                <w:numId w:val="5"/>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按时提交月、季度总结及计划，否则每次扣2分。</w:t>
            </w:r>
          </w:p>
          <w:p w14:paraId="6550D56B">
            <w:pPr>
              <w:keepNext w:val="0"/>
              <w:keepLines w:val="0"/>
              <w:widowControl/>
              <w:numPr>
                <w:ilvl w:val="0"/>
                <w:numId w:val="5"/>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服从比选人的正当管理和调度，否则每次扣5-10分。</w:t>
            </w:r>
          </w:p>
          <w:p w14:paraId="652FD4AF">
            <w:pPr>
              <w:keepNext w:val="0"/>
              <w:keepLines w:val="0"/>
              <w:widowControl/>
              <w:numPr>
                <w:ilvl w:val="0"/>
                <w:numId w:val="5"/>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严格执行比选人的检修作业标准、技术标准、以及电力行业标准及厂家说明书，不符合质量要求的，每次扣2分，造成一般质量事故的，每次扣5分，发生非停或重大损失的扣20分，并另行考核。全年未发生质量事故，第四季度加5分。</w:t>
            </w:r>
          </w:p>
          <w:p w14:paraId="479F0975">
            <w:pPr>
              <w:keepNext w:val="0"/>
              <w:keepLines w:val="0"/>
              <w:widowControl/>
              <w:numPr>
                <w:ilvl w:val="0"/>
                <w:numId w:val="5"/>
              </w:numPr>
              <w:suppressLineNumbers w:val="0"/>
              <w:spacing w:before="0" w:beforeAutospacing="0" w:after="0" w:afterAutospacing="0"/>
              <w:ind w:left="360" w:right="0" w:hanging="36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消缺率低于95%，每低于1%扣1分，每高于一个百分点加1分。</w:t>
            </w:r>
          </w:p>
          <w:p w14:paraId="45EE43E8">
            <w:pPr>
              <w:keepNext w:val="0"/>
              <w:keepLines w:val="0"/>
              <w:widowControl/>
              <w:suppressLineNumbers w:val="0"/>
              <w:spacing w:before="0" w:beforeAutospacing="0" w:after="0" w:afterAutospacing="0"/>
              <w:ind w:left="36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一次通过率低于95%，每降低1%扣1分。</w:t>
            </w:r>
          </w:p>
        </w:tc>
        <w:tc>
          <w:tcPr>
            <w:tcW w:w="331" w:type="pct"/>
            <w:tcBorders>
              <w:top w:val="nil"/>
              <w:left w:val="nil"/>
              <w:bottom w:val="single" w:color="auto" w:sz="4" w:space="0"/>
              <w:right w:val="single" w:color="auto" w:sz="4" w:space="0"/>
            </w:tcBorders>
            <w:shd w:val="clear" w:color="auto" w:fill="auto"/>
            <w:vAlign w:val="center"/>
          </w:tcPr>
          <w:p w14:paraId="073D309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20</w:t>
            </w:r>
          </w:p>
        </w:tc>
        <w:tc>
          <w:tcPr>
            <w:tcW w:w="331" w:type="pct"/>
            <w:tcBorders>
              <w:top w:val="single" w:color="auto" w:sz="4" w:space="0"/>
              <w:left w:val="nil"/>
              <w:bottom w:val="single" w:color="auto" w:sz="4" w:space="0"/>
              <w:right w:val="single" w:color="auto" w:sz="4" w:space="0"/>
            </w:tcBorders>
            <w:shd w:val="clear" w:color="auto" w:fill="auto"/>
            <w:vAlign w:val="top"/>
          </w:tcPr>
          <w:p w14:paraId="1849BBA9">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nil"/>
              <w:left w:val="nil"/>
              <w:bottom w:val="single" w:color="auto" w:sz="4" w:space="0"/>
              <w:right w:val="single" w:color="auto" w:sz="4" w:space="0"/>
            </w:tcBorders>
            <w:shd w:val="clear" w:color="auto" w:fill="auto"/>
            <w:vAlign w:val="bottom"/>
          </w:tcPr>
          <w:p w14:paraId="4B08960F">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2900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301" w:type="pct"/>
            <w:tcBorders>
              <w:top w:val="nil"/>
              <w:left w:val="single" w:color="auto" w:sz="4" w:space="0"/>
              <w:bottom w:val="single" w:color="auto" w:sz="4" w:space="0"/>
              <w:right w:val="single" w:color="auto" w:sz="4" w:space="0"/>
            </w:tcBorders>
            <w:shd w:val="clear" w:color="auto" w:fill="auto"/>
            <w:vAlign w:val="center"/>
          </w:tcPr>
          <w:p w14:paraId="62B8025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w:t>
            </w:r>
          </w:p>
        </w:tc>
        <w:tc>
          <w:tcPr>
            <w:tcW w:w="489" w:type="pct"/>
            <w:tcBorders>
              <w:top w:val="nil"/>
              <w:left w:val="nil"/>
              <w:bottom w:val="single" w:color="auto" w:sz="4" w:space="0"/>
              <w:right w:val="single" w:color="auto" w:sz="4" w:space="0"/>
            </w:tcBorders>
            <w:shd w:val="clear" w:color="auto" w:fill="auto"/>
            <w:vAlign w:val="center"/>
          </w:tcPr>
          <w:p w14:paraId="38ABF4A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维护管理</w:t>
            </w:r>
          </w:p>
        </w:tc>
        <w:tc>
          <w:tcPr>
            <w:tcW w:w="3196" w:type="pct"/>
            <w:tcBorders>
              <w:top w:val="nil"/>
              <w:left w:val="nil"/>
              <w:bottom w:val="single" w:color="auto" w:sz="4" w:space="0"/>
              <w:right w:val="single" w:color="auto" w:sz="4" w:space="0"/>
            </w:tcBorders>
            <w:shd w:val="clear" w:color="auto" w:fill="auto"/>
            <w:vAlign w:val="center"/>
          </w:tcPr>
          <w:p w14:paraId="3AE2EE57">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1.未建立检修维护台账和巡视检查记录或记录不全的，每次检查发现，扣2分；</w:t>
            </w:r>
          </w:p>
          <w:p w14:paraId="6DAD5F30">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2.坚持做好巡视检查现场设备，作好设备定期设备维修保养，未按规定进行的，每次扣2分；</w:t>
            </w:r>
          </w:p>
          <w:p w14:paraId="31132ED9">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3.遇抢修时，不按比选人要求合理组织，连续作业，影响抢修进度的，每次扣5分；</w:t>
            </w:r>
          </w:p>
          <w:p w14:paraId="630EED12">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4.因人为原因造成设备、备品备件及材料损害的，应照价赔偿，并每次扣2-5分；</w:t>
            </w:r>
          </w:p>
          <w:p w14:paraId="048F3B15">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5.接消缺通知，未能及时作出反应，影响缺陷消除工作的，每次扣2分，由此造成机组设备降出力的，扣5-10分；</w:t>
            </w:r>
          </w:p>
          <w:p w14:paraId="17C4CB9E">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6.缺陷消除时，发生推诿扯皮的，每次扣2分，责任方扣5分。</w:t>
            </w:r>
          </w:p>
          <w:p w14:paraId="54CDC22C">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7.因维护、消缺不到位影响发电量，每次考核6-10分。</w:t>
            </w:r>
          </w:p>
          <w:p w14:paraId="163763CA">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8.积极献策开展小改小革活动，凡采纳1条，加2-5分。</w:t>
            </w:r>
          </w:p>
          <w:p w14:paraId="51D3C6BE">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9.遇现场设备故障时（非维护单位责任），积极组织抢修，连续作业，未影响到安全生产，加5-10分。</w:t>
            </w:r>
          </w:p>
        </w:tc>
        <w:tc>
          <w:tcPr>
            <w:tcW w:w="331" w:type="pct"/>
            <w:tcBorders>
              <w:top w:val="nil"/>
              <w:left w:val="nil"/>
              <w:bottom w:val="single" w:color="auto" w:sz="4" w:space="0"/>
              <w:right w:val="single" w:color="auto" w:sz="4" w:space="0"/>
            </w:tcBorders>
            <w:shd w:val="clear" w:color="auto" w:fill="auto"/>
            <w:vAlign w:val="center"/>
          </w:tcPr>
          <w:p w14:paraId="4ADD1D9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20</w:t>
            </w:r>
          </w:p>
        </w:tc>
        <w:tc>
          <w:tcPr>
            <w:tcW w:w="331" w:type="pct"/>
            <w:tcBorders>
              <w:top w:val="single" w:color="auto" w:sz="4" w:space="0"/>
              <w:left w:val="nil"/>
              <w:bottom w:val="single" w:color="auto" w:sz="4" w:space="0"/>
              <w:right w:val="single" w:color="auto" w:sz="4" w:space="0"/>
            </w:tcBorders>
            <w:shd w:val="clear" w:color="auto" w:fill="auto"/>
            <w:vAlign w:val="top"/>
          </w:tcPr>
          <w:p w14:paraId="27356730">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nil"/>
              <w:left w:val="nil"/>
              <w:bottom w:val="single" w:color="auto" w:sz="4" w:space="0"/>
              <w:right w:val="single" w:color="auto" w:sz="4" w:space="0"/>
            </w:tcBorders>
            <w:shd w:val="clear" w:color="auto" w:fill="auto"/>
            <w:vAlign w:val="bottom"/>
          </w:tcPr>
          <w:p w14:paraId="4FF95F4B">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1061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301" w:type="pct"/>
            <w:tcBorders>
              <w:top w:val="nil"/>
              <w:left w:val="single" w:color="auto" w:sz="4" w:space="0"/>
              <w:bottom w:val="single" w:color="auto" w:sz="4" w:space="0"/>
              <w:right w:val="single" w:color="auto" w:sz="4" w:space="0"/>
            </w:tcBorders>
            <w:shd w:val="clear" w:color="auto" w:fill="auto"/>
            <w:vAlign w:val="center"/>
          </w:tcPr>
          <w:p w14:paraId="0C5C43B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6</w:t>
            </w:r>
          </w:p>
        </w:tc>
        <w:tc>
          <w:tcPr>
            <w:tcW w:w="489" w:type="pct"/>
            <w:tcBorders>
              <w:top w:val="nil"/>
              <w:left w:val="nil"/>
              <w:bottom w:val="single" w:color="auto" w:sz="4" w:space="0"/>
              <w:right w:val="single" w:color="auto" w:sz="4" w:space="0"/>
            </w:tcBorders>
            <w:shd w:val="clear" w:color="auto" w:fill="auto"/>
            <w:vAlign w:val="center"/>
          </w:tcPr>
          <w:p w14:paraId="0B72445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安全评价</w:t>
            </w:r>
          </w:p>
        </w:tc>
        <w:tc>
          <w:tcPr>
            <w:tcW w:w="3196" w:type="pct"/>
            <w:tcBorders>
              <w:top w:val="nil"/>
              <w:left w:val="nil"/>
              <w:bottom w:val="single" w:color="auto" w:sz="4" w:space="0"/>
              <w:right w:val="single" w:color="auto" w:sz="4" w:space="0"/>
            </w:tcBorders>
            <w:shd w:val="clear" w:color="auto" w:fill="auto"/>
            <w:vAlign w:val="center"/>
          </w:tcPr>
          <w:p w14:paraId="794689EE">
            <w:pPr>
              <w:keepNext w:val="0"/>
              <w:keepLines w:val="0"/>
              <w:widowControl/>
              <w:suppressLineNumbers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严格执行比选人的安全管理规定以及国家、电力行业安全法规，安全检查不符合要求，每发生1次扣2分，发生障碍，每次扣5分；发生异常，每次扣3分；发生未遂，每次扣2分，发生一般安全事故扣10分，造成重大安全事故的按安全规范书考核。对及时发现安全隐患并有效处理的，每次加2-5分。</w:t>
            </w:r>
          </w:p>
        </w:tc>
        <w:tc>
          <w:tcPr>
            <w:tcW w:w="331" w:type="pct"/>
            <w:tcBorders>
              <w:top w:val="nil"/>
              <w:left w:val="nil"/>
              <w:bottom w:val="single" w:color="auto" w:sz="4" w:space="0"/>
              <w:right w:val="single" w:color="auto" w:sz="4" w:space="0"/>
            </w:tcBorders>
            <w:shd w:val="clear" w:color="auto" w:fill="auto"/>
            <w:vAlign w:val="center"/>
          </w:tcPr>
          <w:p w14:paraId="345D193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10</w:t>
            </w:r>
          </w:p>
        </w:tc>
        <w:tc>
          <w:tcPr>
            <w:tcW w:w="331" w:type="pct"/>
            <w:tcBorders>
              <w:top w:val="single" w:color="auto" w:sz="4" w:space="0"/>
              <w:left w:val="nil"/>
              <w:bottom w:val="single" w:color="auto" w:sz="4" w:space="0"/>
              <w:right w:val="single" w:color="auto" w:sz="4" w:space="0"/>
            </w:tcBorders>
            <w:shd w:val="clear" w:color="auto" w:fill="auto"/>
            <w:vAlign w:val="top"/>
          </w:tcPr>
          <w:p w14:paraId="27021923">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nil"/>
              <w:left w:val="nil"/>
              <w:bottom w:val="single" w:color="auto" w:sz="4" w:space="0"/>
              <w:right w:val="single" w:color="auto" w:sz="4" w:space="0"/>
            </w:tcBorders>
            <w:shd w:val="clear" w:color="auto" w:fill="auto"/>
            <w:vAlign w:val="bottom"/>
          </w:tcPr>
          <w:p w14:paraId="32581585">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6E46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5C1424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7</w:t>
            </w:r>
          </w:p>
        </w:tc>
        <w:tc>
          <w:tcPr>
            <w:tcW w:w="489" w:type="pct"/>
            <w:tcBorders>
              <w:top w:val="single" w:color="auto" w:sz="4" w:space="0"/>
              <w:left w:val="nil"/>
              <w:bottom w:val="single" w:color="auto" w:sz="4" w:space="0"/>
              <w:right w:val="single" w:color="auto" w:sz="4" w:space="0"/>
            </w:tcBorders>
            <w:shd w:val="clear" w:color="auto" w:fill="auto"/>
            <w:vAlign w:val="center"/>
          </w:tcPr>
          <w:p w14:paraId="18E5B4F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文明生产</w:t>
            </w:r>
          </w:p>
        </w:tc>
        <w:tc>
          <w:tcPr>
            <w:tcW w:w="3196" w:type="pct"/>
            <w:tcBorders>
              <w:top w:val="single" w:color="auto" w:sz="4" w:space="0"/>
              <w:left w:val="nil"/>
              <w:bottom w:val="single" w:color="auto" w:sz="4" w:space="0"/>
              <w:right w:val="single" w:color="auto" w:sz="4" w:space="0"/>
            </w:tcBorders>
            <w:shd w:val="clear" w:color="auto" w:fill="auto"/>
            <w:vAlign w:val="bottom"/>
          </w:tcPr>
          <w:p w14:paraId="55608E73">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做好施工现场的文明生产，做好定置管理，杜绝脏乱差，做到工完料尽场地清，不对周边环境造成污染，否则每次扣3分。</w:t>
            </w:r>
          </w:p>
        </w:tc>
        <w:tc>
          <w:tcPr>
            <w:tcW w:w="331" w:type="pct"/>
            <w:tcBorders>
              <w:top w:val="single" w:color="auto" w:sz="4" w:space="0"/>
              <w:left w:val="nil"/>
              <w:bottom w:val="single" w:color="auto" w:sz="4" w:space="0"/>
              <w:right w:val="single" w:color="auto" w:sz="4" w:space="0"/>
            </w:tcBorders>
            <w:shd w:val="clear" w:color="auto" w:fill="auto"/>
            <w:vAlign w:val="center"/>
          </w:tcPr>
          <w:p w14:paraId="40D57E6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10</w:t>
            </w:r>
          </w:p>
        </w:tc>
        <w:tc>
          <w:tcPr>
            <w:tcW w:w="331" w:type="pct"/>
            <w:tcBorders>
              <w:top w:val="single" w:color="auto" w:sz="4" w:space="0"/>
              <w:left w:val="nil"/>
              <w:bottom w:val="single" w:color="auto" w:sz="4" w:space="0"/>
              <w:right w:val="single" w:color="auto" w:sz="4" w:space="0"/>
            </w:tcBorders>
            <w:shd w:val="clear" w:color="auto" w:fill="auto"/>
            <w:vAlign w:val="top"/>
          </w:tcPr>
          <w:p w14:paraId="1AA2AF90">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single" w:color="auto" w:sz="4" w:space="0"/>
              <w:left w:val="nil"/>
              <w:bottom w:val="single" w:color="auto" w:sz="4" w:space="0"/>
              <w:right w:val="single" w:color="auto" w:sz="4" w:space="0"/>
            </w:tcBorders>
            <w:shd w:val="clear" w:color="auto" w:fill="auto"/>
            <w:vAlign w:val="bottom"/>
          </w:tcPr>
          <w:p w14:paraId="05BFFE9B">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62C1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66D52B7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二</w:t>
            </w:r>
          </w:p>
        </w:tc>
        <w:tc>
          <w:tcPr>
            <w:tcW w:w="489" w:type="pct"/>
            <w:tcBorders>
              <w:top w:val="single" w:color="auto" w:sz="4" w:space="0"/>
              <w:left w:val="nil"/>
              <w:bottom w:val="single" w:color="auto" w:sz="4" w:space="0"/>
              <w:right w:val="single" w:color="auto" w:sz="4" w:space="0"/>
            </w:tcBorders>
            <w:shd w:val="clear" w:color="auto" w:fill="auto"/>
            <w:vAlign w:val="center"/>
          </w:tcPr>
          <w:p w14:paraId="2CB9C52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专用部分</w:t>
            </w:r>
          </w:p>
        </w:tc>
        <w:tc>
          <w:tcPr>
            <w:tcW w:w="3196" w:type="pct"/>
            <w:tcBorders>
              <w:top w:val="single" w:color="auto" w:sz="4" w:space="0"/>
              <w:left w:val="nil"/>
              <w:bottom w:val="single" w:color="auto" w:sz="4" w:space="0"/>
              <w:right w:val="single" w:color="auto" w:sz="4" w:space="0"/>
            </w:tcBorders>
            <w:shd w:val="clear" w:color="auto" w:fill="auto"/>
            <w:vAlign w:val="top"/>
          </w:tcPr>
          <w:p w14:paraId="611F2A66">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31" w:type="pct"/>
            <w:tcBorders>
              <w:top w:val="single" w:color="auto" w:sz="4" w:space="0"/>
              <w:left w:val="nil"/>
              <w:bottom w:val="single" w:color="auto" w:sz="4" w:space="0"/>
              <w:right w:val="single" w:color="auto" w:sz="4" w:space="0"/>
            </w:tcBorders>
            <w:shd w:val="clear" w:color="auto" w:fill="auto"/>
            <w:vAlign w:val="center"/>
          </w:tcPr>
          <w:p w14:paraId="4AF12B8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p>
        </w:tc>
        <w:tc>
          <w:tcPr>
            <w:tcW w:w="331" w:type="pct"/>
            <w:tcBorders>
              <w:top w:val="single" w:color="auto" w:sz="4" w:space="0"/>
              <w:left w:val="nil"/>
              <w:bottom w:val="single" w:color="auto" w:sz="4" w:space="0"/>
              <w:right w:val="single" w:color="auto" w:sz="4" w:space="0"/>
            </w:tcBorders>
            <w:shd w:val="clear" w:color="auto" w:fill="auto"/>
            <w:vAlign w:val="top"/>
          </w:tcPr>
          <w:p w14:paraId="29D8F949">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single" w:color="auto" w:sz="4" w:space="0"/>
              <w:left w:val="nil"/>
              <w:bottom w:val="single" w:color="auto" w:sz="4" w:space="0"/>
              <w:right w:val="single" w:color="auto" w:sz="4" w:space="0"/>
            </w:tcBorders>
            <w:shd w:val="clear" w:color="auto" w:fill="auto"/>
            <w:vAlign w:val="bottom"/>
          </w:tcPr>
          <w:p w14:paraId="37818114">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r w14:paraId="27DC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07C79C3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w:t>
            </w:r>
          </w:p>
        </w:tc>
        <w:tc>
          <w:tcPr>
            <w:tcW w:w="489" w:type="pct"/>
            <w:tcBorders>
              <w:top w:val="single" w:color="auto" w:sz="4" w:space="0"/>
              <w:left w:val="nil"/>
              <w:bottom w:val="single" w:color="auto" w:sz="4" w:space="0"/>
              <w:right w:val="single" w:color="auto" w:sz="4" w:space="0"/>
            </w:tcBorders>
            <w:shd w:val="clear" w:color="auto" w:fill="auto"/>
            <w:vAlign w:val="center"/>
          </w:tcPr>
          <w:p w14:paraId="6614E72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机组维护</w:t>
            </w:r>
          </w:p>
        </w:tc>
        <w:tc>
          <w:tcPr>
            <w:tcW w:w="3196" w:type="pct"/>
            <w:tcBorders>
              <w:top w:val="single" w:color="auto" w:sz="4" w:space="0"/>
              <w:left w:val="nil"/>
              <w:bottom w:val="single" w:color="auto" w:sz="4" w:space="0"/>
              <w:right w:val="single" w:color="auto" w:sz="4" w:space="0"/>
            </w:tcBorders>
            <w:shd w:val="clear" w:color="auto" w:fill="auto"/>
            <w:vAlign w:val="bottom"/>
          </w:tcPr>
          <w:p w14:paraId="519AC374">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未及时报送备品备件及材料计划，每次扣1分；不测绘配件图纸，每次扣1分；不积极配合验收每次扣1分；未按要求对能修复的备品备件及设备进行修复，每次扣2-5分；由于消缺不彻底，重复发生，扣2分；D类缺陷因自身原因长期未处理，每条扣1分；使用维护人员，承担合同外零星工程项目，影响机组消缺，每次扣3-5分；若在维修过程中管理不当，浪费材料或挪作它用时，每次扣5分。</w:t>
            </w:r>
          </w:p>
        </w:tc>
        <w:tc>
          <w:tcPr>
            <w:tcW w:w="331" w:type="pct"/>
            <w:tcBorders>
              <w:top w:val="single" w:color="auto" w:sz="4" w:space="0"/>
              <w:left w:val="nil"/>
              <w:bottom w:val="single" w:color="auto" w:sz="4" w:space="0"/>
              <w:right w:val="single" w:color="auto" w:sz="4" w:space="0"/>
            </w:tcBorders>
            <w:shd w:val="clear" w:color="auto" w:fill="auto"/>
            <w:vAlign w:val="center"/>
          </w:tcPr>
          <w:p w14:paraId="23D8B92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20</w:t>
            </w:r>
          </w:p>
        </w:tc>
        <w:tc>
          <w:tcPr>
            <w:tcW w:w="331" w:type="pct"/>
            <w:tcBorders>
              <w:top w:val="single" w:color="auto" w:sz="4" w:space="0"/>
              <w:left w:val="nil"/>
              <w:bottom w:val="single" w:color="auto" w:sz="4" w:space="0"/>
              <w:right w:val="single" w:color="auto" w:sz="4" w:space="0"/>
            </w:tcBorders>
            <w:shd w:val="clear" w:color="auto" w:fill="auto"/>
            <w:vAlign w:val="top"/>
          </w:tcPr>
          <w:p w14:paraId="09FE2EF1">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c>
          <w:tcPr>
            <w:tcW w:w="349" w:type="pct"/>
            <w:tcBorders>
              <w:top w:val="single" w:color="auto" w:sz="4" w:space="0"/>
              <w:left w:val="nil"/>
              <w:bottom w:val="single" w:color="auto" w:sz="4" w:space="0"/>
              <w:right w:val="single" w:color="auto" w:sz="4" w:space="0"/>
            </w:tcBorders>
            <w:shd w:val="clear" w:color="auto" w:fill="auto"/>
            <w:vAlign w:val="bottom"/>
          </w:tcPr>
          <w:p w14:paraId="45989DAF">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rPr>
            </w:pPr>
          </w:p>
        </w:tc>
      </w:tr>
    </w:tbl>
    <w:p w14:paraId="02D0B88F">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28"/>
          <w:szCs w:val="28"/>
        </w:rPr>
      </w:pPr>
    </w:p>
    <w:p w14:paraId="7D97000A">
      <w:pPr>
        <w:snapToGrid w:val="0"/>
        <w:spacing w:line="360" w:lineRule="auto"/>
        <w:outlineLvl w:val="0"/>
        <w:rPr>
          <w:rFonts w:hint="eastAsia" w:ascii="宋体" w:hAnsi="宋体" w:eastAsia="宋体" w:cs="宋体"/>
          <w:b/>
          <w:bCs/>
          <w:color w:val="auto"/>
          <w:sz w:val="24"/>
          <w:szCs w:val="24"/>
        </w:rPr>
      </w:pPr>
    </w:p>
    <w:p w14:paraId="62BB5574">
      <w:pPr>
        <w:snapToGrid w:val="0"/>
        <w:spacing w:line="360" w:lineRule="auto"/>
        <w:outlineLvl w:val="0"/>
        <w:rPr>
          <w:rFonts w:eastAsia="仿宋_GB2312"/>
          <w:color w:val="auto"/>
        </w:rPr>
      </w:pPr>
      <w:r>
        <w:rPr>
          <w:rFonts w:hint="eastAsia" w:ascii="宋体" w:hAnsi="宋体" w:cs="宋体"/>
          <w:b/>
          <w:color w:val="auto"/>
          <w:sz w:val="24"/>
          <w:szCs w:val="24"/>
          <w:lang w:eastAsia="zh"/>
        </w:rPr>
        <w:t>附件2：</w:t>
      </w:r>
      <w:r>
        <w:rPr>
          <w:rFonts w:hint="eastAsia" w:ascii="宋体" w:hAnsi="宋体" w:eastAsia="宋体" w:cs="宋体"/>
          <w:b/>
          <w:color w:val="auto"/>
          <w:sz w:val="24"/>
          <w:szCs w:val="24"/>
        </w:rPr>
        <w:t>检修维护（试验）安全文明施工考核实施细则</w:t>
      </w:r>
      <w:bookmarkEnd w:id="54"/>
    </w:p>
    <w:tbl>
      <w:tblPr>
        <w:tblStyle w:val="14"/>
        <w:tblW w:w="926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617"/>
        <w:gridCol w:w="1584"/>
        <w:gridCol w:w="1336"/>
        <w:gridCol w:w="1159"/>
        <w:gridCol w:w="955"/>
      </w:tblGrid>
      <w:tr w14:paraId="45A3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noWrap w:val="0"/>
            <w:vAlign w:val="center"/>
          </w:tcPr>
          <w:p w14:paraId="207CCD80">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序号</w:t>
            </w:r>
          </w:p>
        </w:tc>
        <w:tc>
          <w:tcPr>
            <w:tcW w:w="3617" w:type="dxa"/>
            <w:noWrap w:val="0"/>
            <w:vAlign w:val="center"/>
          </w:tcPr>
          <w:p w14:paraId="1B87A969">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考核内容</w:t>
            </w:r>
          </w:p>
        </w:tc>
        <w:tc>
          <w:tcPr>
            <w:tcW w:w="1584" w:type="dxa"/>
            <w:noWrap w:val="0"/>
            <w:vAlign w:val="center"/>
          </w:tcPr>
          <w:p w14:paraId="163F8A04">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考核标准</w:t>
            </w:r>
          </w:p>
        </w:tc>
        <w:tc>
          <w:tcPr>
            <w:tcW w:w="1336" w:type="dxa"/>
            <w:noWrap w:val="0"/>
            <w:vAlign w:val="center"/>
          </w:tcPr>
          <w:p w14:paraId="44C9841A">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被考核部门</w:t>
            </w:r>
          </w:p>
        </w:tc>
        <w:tc>
          <w:tcPr>
            <w:tcW w:w="1159" w:type="dxa"/>
            <w:noWrap w:val="0"/>
            <w:vAlign w:val="center"/>
          </w:tcPr>
          <w:p w14:paraId="0849110D">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考核金额</w:t>
            </w:r>
          </w:p>
        </w:tc>
        <w:tc>
          <w:tcPr>
            <w:tcW w:w="955" w:type="dxa"/>
            <w:noWrap w:val="0"/>
            <w:vAlign w:val="center"/>
          </w:tcPr>
          <w:p w14:paraId="13BDB8DF">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考核部门</w:t>
            </w:r>
          </w:p>
        </w:tc>
      </w:tr>
      <w:tr w14:paraId="4756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B10348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637AC21">
            <w:pPr>
              <w:keepNext w:val="0"/>
              <w:keepLines w:val="0"/>
              <w:widowControl/>
              <w:suppressLineNumbers w:val="0"/>
              <w:spacing w:before="0" w:beforeAutospacing="0" w:after="0" w:afterAutospacing="0"/>
              <w:ind w:left="0" w:right="0"/>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检修准备工作</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39B10F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1164A6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00922D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8474E5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3324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92A24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84C64A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未按期完成检修中使用的专用工具、安全工器具等的准备，做到数量齐全，并经检验（检查）合格</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B04497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生技部编制检查性大修技术规范要求，检查记录</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04BF69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8F4C21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每延迟一天，100元/项</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1A7AA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安健环监部</w:t>
            </w:r>
          </w:p>
        </w:tc>
      </w:tr>
      <w:tr w14:paraId="11A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583B9C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30DCEA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未按期完成检修中使用的标准检验、测量仪器的准备，做到数量齐全，保证符合相关技术规定</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63EDF8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生技部编制检查性大修技术规范要求，检查记录</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B84755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2CF13F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每延迟一天，100元/项</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500F97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生技部</w:t>
            </w:r>
          </w:p>
        </w:tc>
      </w:tr>
      <w:tr w14:paraId="0611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06406AA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EBD41D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未按期完成对外包工程单位人员的安全教育和《电业安全工作规程》考试的检查工作并备案</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301F6E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安规要求</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36FF81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64BCF2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每延迟一天，200元/项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63480F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51C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7E8A4E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126B2F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未确认与承接工作相适应的工作票签发人、负责人名单</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088413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安规要求</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621F0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412A25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每延迟一天，200元/项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5E066D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A3A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04953E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570407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未按期对特殊工种人员的资格进行确认</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6D5995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安规要求</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C3F14B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C39C1C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004739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E5D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B233A4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1.6</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E55312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对危险性大的作业，未制定专项施工组织、安全措施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633696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交生技部并批准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D76DA9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ABE2B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FCDE17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A42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5587A5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1.7</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C1AE78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重大项目无技术、安全措施措施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067C0C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交生技部并批准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7F2198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设备维修部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AA3AC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77305C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BD5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7DC714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92D34A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对外委检修项目向外检修委队伍的相关人员进行安全交底、技术交底</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241648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生技部编制检查性大修技术规范要求，检查记录</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511C1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生技部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9B9B28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每延迟一天，100元/项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5E36A9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D0A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E1EF6D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xml:space="preserve">1.9 </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9AB874E">
            <w:pPr>
              <w:keepNext w:val="0"/>
              <w:keepLines w:val="0"/>
              <w:widowControl/>
              <w:suppressLineNumbers w:val="0"/>
              <w:spacing w:before="0" w:beforeAutospacing="0" w:after="0" w:afterAutospacing="0"/>
              <w:ind w:left="0" w:right="0"/>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检修工作的实施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F2EBFC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C7A040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B69234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071D7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434C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142441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1.9.1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6998F7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重大项目无技术措施或有措施不落实</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9A6F51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以交生技部并批准的为准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EEC63B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34EAB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04DF8A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155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7CDF9E9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1.9.2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4B92FD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设备发生异动无手续或手续不全</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83F2AF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以交生技部并批准的为准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A3DFC2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1CCF6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D211B3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2E1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8B96B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4321351">
            <w:pPr>
              <w:keepNext w:val="0"/>
              <w:keepLines w:val="0"/>
              <w:widowControl/>
              <w:suppressLineNumbers w:val="0"/>
              <w:spacing w:before="0" w:beforeAutospacing="0" w:after="0" w:afterAutospacing="0"/>
              <w:ind w:left="0" w:right="0"/>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安全文明</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F295BC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DABC9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238CE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AC68BE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7483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3CB3BF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43E1B40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无票作业</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A1D25C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B1C122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737069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1F28EA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DFC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C219DD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1D0F7E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工作票办理不及时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B0E00D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以安监部检查等为准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D9421D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4B55B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100元/份</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4619D0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574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F90DEF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BA3DD7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工作票措施不全</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019D35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以安监部检查等为准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2E77F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DB4926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100元/份</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3AEFCB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214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B2A747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34CD5C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“两票”不合格、或全过程执行不符合标准</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947016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检查工作票和现场监督</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7E18AE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93981F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BEA26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FB9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C03A4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A9A074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工作票终结不及时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ACD2F4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以安监部检查等为准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2C9F60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18B1E2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100元/份</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7A7647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505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0C56249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xml:space="preserve">2.6 </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2F7D6C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系统隔离或试转时出现操作问题</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6E0210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以生技部或安监部检查等为准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2E335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发电部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AFD4F7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3AAF4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安健环监部</w:t>
            </w:r>
          </w:p>
        </w:tc>
      </w:tr>
      <w:tr w14:paraId="625E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7E9C1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2.7</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DF7817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在未办理试转手续的情况下试转设备</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4EBCE3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以生技部或安监部检查等为准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686D3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E95E49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500元/次</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3F62935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生技或安健环监部</w:t>
            </w:r>
          </w:p>
        </w:tc>
      </w:tr>
      <w:tr w14:paraId="7954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E9530D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D343C7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发生火警</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54E1DC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239726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99D49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F5C44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4ED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2060A6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2.9</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C4BA80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工作负责人进入作业现场不佩戴袖标</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18E023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7827F9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3642D9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5C92467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663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B65022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2.10</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F99FAC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发生违章（指挥、作业、装置、管理）现象和行为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753F15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规程和上级、厂有关规定为准</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DB6CD7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EB0B9B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607735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09C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7C6A674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EC1497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现场安全帽不带安全帽、不系紧安全帽带</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F2AA5D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72BD8D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112CA2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623CC1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6A35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2FAFA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A7EBA3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未按规定穿工作服和佩带劳保用品</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07AF97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EE913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AF0781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926F36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685A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488B94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DAAABB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穿高跟鞋、短衣、裙子、长头发未盘在帽内等进入现场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8E600E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42F895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BF454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C5BC23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422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8DD20C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5514CB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登高作业未按规定使用安全带、安全绳</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AF7EC2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07C35F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89EB8B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AC94D6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E60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5A6C28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0B6BA0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高空作业携带工具未使用工具袋，高空抛掷物品</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152F38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027F9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A4C87F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EB1CC3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9A7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7FD718A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2.16</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25EEDF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搭设的脚手架不合格或使用未验收合格脚手架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585420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8DC9CE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593962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D31DA8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2B1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8DC26A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 xml:space="preserve">2.17 </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1DB93F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使用不合格的登高器具、架台、起重设施、电动工器具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AAE075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CFF77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308745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164598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2A1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97DDEF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385924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有落物、坠落的危险作业区域，未设置安全围栏和明显警示标志，无专人监护</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E5FC2B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126035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60B560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4A2D1B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BC6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vMerge w:val="restart"/>
            <w:tcBorders>
              <w:top w:val="single" w:color="auto" w:sz="4" w:space="0"/>
              <w:left w:val="single" w:color="auto" w:sz="4" w:space="0"/>
              <w:right w:val="single" w:color="auto" w:sz="4" w:space="0"/>
            </w:tcBorders>
            <w:noWrap w:val="0"/>
            <w:vAlign w:val="center"/>
          </w:tcPr>
          <w:p w14:paraId="7FCD581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2.19</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91AAD5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高空电焊、切割作业的下方没有防止焊渣、边料坠落伤人或引起火警的隔离措施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F40004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4E5D94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83284A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E2EE0E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810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vMerge w:val="continue"/>
            <w:tcBorders>
              <w:left w:val="single" w:color="auto" w:sz="4" w:space="0"/>
              <w:bottom w:val="single" w:color="auto" w:sz="4" w:space="0"/>
              <w:right w:val="single" w:color="auto" w:sz="4" w:space="0"/>
            </w:tcBorders>
            <w:noWrap w:val="0"/>
            <w:vAlign w:val="center"/>
          </w:tcPr>
          <w:p w14:paraId="26693AFC">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rPr>
            </w:pP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6CEC8E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现场使用、存放的氧气、乙炔瓶不符合安规要求</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1B498B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0E84A8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A307A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5F45C61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59F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3D0678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2.20</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2BD5D7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检修电源和现场照明电源没有漏电保护器；在金属容器内和潮湿的场所使用的照明不是安全电压</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331424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7DC952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F8BCA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9AC702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6F0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0A36F0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E8B299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没有特种作业资质证人员进行特种作业工作</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B4BAF8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3CE8EB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19F06D0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AA0E1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6EA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708C243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4D86229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起重作业违章</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54312A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CB8EE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999332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89A6A8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763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A59ACE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440C024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擅自拆除、开挖地面，或不按规定设标志、围拦</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7D6B55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934B80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6EE4CA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7AE79A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F13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1F3C58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46CFBF3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拆除的孔洞盖板、栏杆、隔离层等未及时恢复</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BFCF00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3B8B2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645A29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7B7F26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442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A78BD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8F8295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从事电、火焊作业、使用电动砂轮机具，未按规定使用防护用品</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6C918A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DB6DF4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F3B942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514EED6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CD0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78A340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2.26</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159CD8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车辆违章驾驶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D1F191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D98772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50C07F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5F179E9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636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22A12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2.27</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7241A5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外包施工、临时工作业无人监护或监护不到位</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CE7F09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D145E4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74879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5CE206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B98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77DD0AA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790806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外包施工队伍未签订安全</w:t>
            </w:r>
            <w:r>
              <w:rPr>
                <w:rFonts w:hint="eastAsia" w:ascii="宋体" w:hAnsi="宋体" w:eastAsia="宋体" w:cs="宋体"/>
                <w:color w:val="auto"/>
                <w:kern w:val="0"/>
                <w:sz w:val="18"/>
                <w:szCs w:val="18"/>
                <w:lang w:eastAsia="zh-CN"/>
              </w:rPr>
              <w:t>规范书</w:t>
            </w:r>
            <w:r>
              <w:rPr>
                <w:rFonts w:hint="eastAsia" w:ascii="宋体" w:hAnsi="宋体" w:eastAsia="宋体" w:cs="宋体"/>
                <w:color w:val="auto"/>
                <w:kern w:val="0"/>
                <w:sz w:val="18"/>
                <w:szCs w:val="18"/>
              </w:rPr>
              <w:t>、未进行安全教育擅自批准开工</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D5F3A1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检查手续</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22A97E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0F6BF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AD8C97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79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88C12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2.29</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E9170F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未按要求进行班组安全活动及进行站班会</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83A473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检查记录</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C4B956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3522E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E72F92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831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942358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2.30</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FE7663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班前会未做安全注意事项交底或班组的工作日志中未体现对外包单位安全交底的完整记录</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094B9A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检查记录</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1A97A8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B2E3DA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43C850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F37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B06895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5CCCAE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安全专项活动查出的装置违章、隐患、缺陷应消除而未消除的</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FEBCC3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现场验证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4CA55E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9B9E22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369E3E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3AA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491017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EFCA97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重大项目无安全措施或有措施不落实</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7224C7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9BB517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DBC2C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F27AA9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91F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0E6B5A6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562D48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没有办批准手续而随意变更安全技术措施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B1D55D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9D03FF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94136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2DCAA5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7A2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F79E9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D56056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设备、零部件拆卸摆放不整齐或未采取有效防护措施</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D1A521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3ECB90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29CB3E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DEF736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A8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39F859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D7F6D7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检修现场脏、乱、差</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1DD952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881DD7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9F0C78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D7535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3F7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EB5982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2.36</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4E07FA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乱拉乱接电线</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6D4FEC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B320E7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0C6AC3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0131F9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ED6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A7AFF8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2.37</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C704C9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损坏地面隔离层、瓷砖等</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2E0494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67882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54D75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2C9F35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1CD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9AD2A4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BB6766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管口未按要求封堵；裸露线头不包扎</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8AAEEF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C16AB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37A89F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FAE77F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C75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B6C0E5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2.39</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1C3696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现场不在规定地点吸烟、乱扔烟头等</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7C4982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00EFDD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2E1B05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AAC482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B21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389EB8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2.40</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F47422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施工剩余的废料、垃圾不按指定地点分类存放；乱倒废油、废液</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6709BA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652544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890B14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C58EC7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6381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6B0659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11B144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拆包保温未按要求进行，污染现场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927A43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767CAD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1F676A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100-500元/次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03F0B6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168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8FF2FD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1F30AD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管道铁皮拆开后未按顺序竖直摆放或折损变形</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F5111E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02E865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FD0A2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72D737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A68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2C7185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792E18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电气设备绝缘件被踏踩</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A90FAF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BE6B58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79EC02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E0288A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E90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F6573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4561F8B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各标志、电缆牌、端子牌不</w:t>
            </w:r>
            <w:r>
              <w:rPr>
                <w:rFonts w:hint="eastAsia" w:ascii="宋体" w:hAnsi="宋体" w:eastAsia="宋体" w:cs="宋体"/>
                <w:color w:val="auto"/>
                <w:kern w:val="0"/>
                <w:sz w:val="18"/>
                <w:szCs w:val="18"/>
                <w:lang w:eastAsia="zh-CN"/>
              </w:rPr>
              <w:t>规范书</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808E6E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4634A2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755A62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FE9B00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D13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DB2446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DC653F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电缆、管道敷设布置不</w:t>
            </w:r>
            <w:r>
              <w:rPr>
                <w:rFonts w:hint="eastAsia" w:ascii="宋体" w:hAnsi="宋体" w:eastAsia="宋体" w:cs="宋体"/>
                <w:color w:val="auto"/>
                <w:kern w:val="0"/>
                <w:sz w:val="18"/>
                <w:szCs w:val="18"/>
                <w:lang w:eastAsia="zh-CN"/>
              </w:rPr>
              <w:t>规范书</w:t>
            </w:r>
            <w:r>
              <w:rPr>
                <w:rFonts w:hint="eastAsia" w:ascii="宋体" w:hAnsi="宋体" w:eastAsia="宋体" w:cs="宋体"/>
                <w:color w:val="auto"/>
                <w:kern w:val="0"/>
                <w:sz w:val="18"/>
                <w:szCs w:val="18"/>
              </w:rPr>
              <w:t>，标志不齐全</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A75E33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211474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8ABF5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129425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70A1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305FF35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2.46</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37C789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拆保温未洒水和装袋，高层保温步道上未铺垫，造成飞尘污染</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6CEE3C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16C85F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4030A3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B9538C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7D0B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D15AD6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2.47</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AA3391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乱砸乱拆保温或损伤抹面、敷层</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AD3669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F52F8A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71408FF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069EF0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1D87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F5D687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2.48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3902E6B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作业、施工现场达不到工完料净场地清</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583121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2EF742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3265B3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100元/处</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3B92BA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9D1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9BAB4F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2FD63F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安全评价要求限期整改而未完成的</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E84752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C7C9DC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162365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100-500元/项</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E1F248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安健环监部</w:t>
            </w:r>
          </w:p>
        </w:tc>
      </w:tr>
      <w:tr w14:paraId="673E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9DAAD2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08F3812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事故考核</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0E4FAF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14:paraId="15B0A44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714C18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1E4BA42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7054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4CF69BD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43F5161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外包单位发生人身轻伤</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AEFCF4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22C8C6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58DE21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902CC8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C5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5E4EE10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4.2</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70B8F65">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外包单位发生人身重伤</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0B82AF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安全有关规定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2E958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2F4733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AC81CC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5610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8162F0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4.3</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6165495D">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外包单位发生人身重伤以上事故</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7BE059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安全有关规定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3257C42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5AECC18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8C7BDC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6E4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8AC94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4.4</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40FC32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发生人身伤亡未遂</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B57C6A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07B3B4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290D07C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7288B4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0EA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90055B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588E7E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发生人身伤亡、设备事故（损坏）未遂，瞒情不报的</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63848A1">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B7D79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77717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5093EC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21A3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780399E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4.6</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73FFCF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发生一般设备损坏</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3D4B5F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61A48E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E60B25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C3BD7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308C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221BF15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4.7</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C320A2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发生重大设备损坏事故</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94234D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现场见证</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4CB4534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各部门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9BC25E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扣除所有检修奖励</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9EFD34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FBE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19BAB32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4.8</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FB54913">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发生一般火灾</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555139E">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安全有关规定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5FC91BA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责任单位</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9687A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500-2000元/次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DC39BB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0FBC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E97E1E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4.9</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1919A70B">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发生重大火灾事故</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49B3F8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安全有关规定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64F3FD3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各部门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3DF75B9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全部检修奖,追究责任单位安全责任</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F66D91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r w14:paraId="4573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613" w:type="dxa"/>
            <w:tcBorders>
              <w:top w:val="single" w:color="auto" w:sz="4" w:space="0"/>
              <w:left w:val="single" w:color="auto" w:sz="4" w:space="0"/>
              <w:bottom w:val="single" w:color="auto" w:sz="4" w:space="0"/>
              <w:right w:val="single" w:color="auto" w:sz="4" w:space="0"/>
            </w:tcBorders>
            <w:noWrap w:val="0"/>
            <w:vAlign w:val="center"/>
          </w:tcPr>
          <w:p w14:paraId="62774C26">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5</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2D9523F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发生职业病伤害</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57029E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有关规定</w:t>
            </w:r>
          </w:p>
        </w:tc>
        <w:tc>
          <w:tcPr>
            <w:tcW w:w="1336" w:type="dxa"/>
            <w:tcBorders>
              <w:top w:val="single" w:color="auto" w:sz="4" w:space="0"/>
              <w:left w:val="single" w:color="auto" w:sz="4" w:space="0"/>
              <w:bottom w:val="single" w:color="auto" w:sz="4" w:space="0"/>
              <w:right w:val="single" w:color="auto" w:sz="4" w:space="0"/>
            </w:tcBorders>
            <w:noWrap w:val="0"/>
            <w:vAlign w:val="center"/>
          </w:tcPr>
          <w:p w14:paraId="7623F3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责任部门</w:t>
            </w:r>
          </w:p>
        </w:tc>
        <w:tc>
          <w:tcPr>
            <w:tcW w:w="1159" w:type="dxa"/>
            <w:tcBorders>
              <w:top w:val="single" w:color="auto" w:sz="4" w:space="0"/>
              <w:left w:val="single" w:color="auto" w:sz="4" w:space="0"/>
              <w:bottom w:val="single" w:color="auto" w:sz="4" w:space="0"/>
              <w:right w:val="single" w:color="auto" w:sz="4" w:space="0"/>
            </w:tcBorders>
            <w:noWrap w:val="0"/>
            <w:vAlign w:val="center"/>
          </w:tcPr>
          <w:p w14:paraId="6CCC64E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1000元/人次</w:t>
            </w:r>
          </w:p>
        </w:tc>
        <w:tc>
          <w:tcPr>
            <w:tcW w:w="955" w:type="dxa"/>
            <w:tcBorders>
              <w:top w:val="single" w:color="auto" w:sz="4" w:space="0"/>
              <w:left w:val="single" w:color="auto" w:sz="4" w:space="0"/>
              <w:bottom w:val="single" w:color="auto" w:sz="4" w:space="0"/>
              <w:right w:val="single" w:color="auto" w:sz="4" w:space="0"/>
            </w:tcBorders>
            <w:noWrap w:val="0"/>
            <w:vAlign w:val="top"/>
          </w:tcPr>
          <w:p w14:paraId="3C6B63C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kern w:val="0"/>
                <w:sz w:val="18"/>
                <w:szCs w:val="18"/>
              </w:rPr>
              <w:t>安健环监部</w:t>
            </w:r>
          </w:p>
        </w:tc>
      </w:tr>
    </w:tbl>
    <w:p w14:paraId="7AABB791">
      <w:pPr>
        <w:spacing w:line="360" w:lineRule="auto"/>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ar(--s-font-bas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0671F">
    <w:pPr>
      <w:pStyle w:val="8"/>
      <w:framePr w:wrap="around" w:vAnchor="text" w:hAnchor="margin" w:xAlign="center" w:y="1"/>
      <w:rPr>
        <w:rStyle w:val="17"/>
      </w:rPr>
    </w:pPr>
    <w:r>
      <w:rPr>
        <w:rStyle w:val="17"/>
        <w:rFonts w:hint="eastAsia"/>
      </w:rPr>
      <w:t>第</w:t>
    </w:r>
    <w:r>
      <w:fldChar w:fldCharType="begin"/>
    </w:r>
    <w:r>
      <w:rPr>
        <w:rStyle w:val="17"/>
      </w:rPr>
      <w:instrText xml:space="preserve">PAGE  </w:instrText>
    </w:r>
    <w:r>
      <w:fldChar w:fldCharType="separate"/>
    </w:r>
    <w:r>
      <w:rPr>
        <w:rStyle w:val="17"/>
      </w:rPr>
      <w:t>1</w:t>
    </w:r>
    <w:r>
      <w:fldChar w:fldCharType="end"/>
    </w:r>
    <w:r>
      <w:rPr>
        <w:rStyle w:val="17"/>
        <w:rFonts w:hint="eastAsia"/>
      </w:rPr>
      <w:t>页共10页</w:t>
    </w:r>
  </w:p>
  <w:p w14:paraId="5066446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765E">
    <w:pPr>
      <w:pStyle w:val="8"/>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4FB1FB9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7E924">
    <w:pPr>
      <w:pStyle w:val="9"/>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12AE">
    <w:pPr>
      <w:pStyle w:val="9"/>
      <w:pBdr>
        <w:bottom w:val="none" w:color="auto" w:sz="0" w:space="2"/>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6BF7E"/>
    <w:multiLevelType w:val="singleLevel"/>
    <w:tmpl w:val="89D6BF7E"/>
    <w:lvl w:ilvl="0" w:tentative="0">
      <w:start w:val="1"/>
      <w:numFmt w:val="decimal"/>
      <w:suff w:val="nothing"/>
      <w:lvlText w:val="（%1）"/>
      <w:lvlJc w:val="left"/>
    </w:lvl>
  </w:abstractNum>
  <w:abstractNum w:abstractNumId="1">
    <w:nsid w:val="FAF57AEB"/>
    <w:multiLevelType w:val="multilevel"/>
    <w:tmpl w:val="FAF57AEB"/>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FFBF3418"/>
    <w:multiLevelType w:val="multilevel"/>
    <w:tmpl w:val="FFBF3418"/>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01F5B5CB"/>
    <w:multiLevelType w:val="singleLevel"/>
    <w:tmpl w:val="01F5B5CB"/>
    <w:lvl w:ilvl="0" w:tentative="0">
      <w:start w:val="1"/>
      <w:numFmt w:val="decimal"/>
      <w:suff w:val="nothing"/>
      <w:lvlText w:val="（%1）"/>
      <w:lvlJc w:val="left"/>
    </w:lvl>
  </w:abstractNum>
  <w:abstractNum w:abstractNumId="4">
    <w:nsid w:val="067E0C58"/>
    <w:multiLevelType w:val="singleLevel"/>
    <w:tmpl w:val="067E0C58"/>
    <w:lvl w:ilvl="0" w:tentative="0">
      <w:start w:val="1"/>
      <w:numFmt w:val="decimal"/>
      <w:suff w:val="nothing"/>
      <w:lvlText w:val="%1．"/>
      <w:lvlJc w:val="left"/>
      <w:pPr>
        <w:ind w:left="-420" w:firstLine="400"/>
      </w:pPr>
      <w:rPr>
        <w:rFonts w:hint="default" w:ascii="Calibri" w:hAnsi="Calibri" w:cs="Calibri"/>
        <w:sz w:val="21"/>
        <w:szCs w:val="21"/>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3F66"/>
    <w:rsid w:val="00993A89"/>
    <w:rsid w:val="022A2F1B"/>
    <w:rsid w:val="02F6136A"/>
    <w:rsid w:val="037546D2"/>
    <w:rsid w:val="03C06834"/>
    <w:rsid w:val="03C71A42"/>
    <w:rsid w:val="03C816C2"/>
    <w:rsid w:val="042E6E68"/>
    <w:rsid w:val="04942090"/>
    <w:rsid w:val="052F77B0"/>
    <w:rsid w:val="056117E3"/>
    <w:rsid w:val="05C32781"/>
    <w:rsid w:val="06D623B4"/>
    <w:rsid w:val="07824CE1"/>
    <w:rsid w:val="07965F00"/>
    <w:rsid w:val="08F203BB"/>
    <w:rsid w:val="095E54EB"/>
    <w:rsid w:val="09606D4A"/>
    <w:rsid w:val="09953447"/>
    <w:rsid w:val="0BAD6035"/>
    <w:rsid w:val="0C0E4DD5"/>
    <w:rsid w:val="0C897FA2"/>
    <w:rsid w:val="10383F2B"/>
    <w:rsid w:val="11026E77"/>
    <w:rsid w:val="12306264"/>
    <w:rsid w:val="125D38B0"/>
    <w:rsid w:val="12F572A6"/>
    <w:rsid w:val="135F6956"/>
    <w:rsid w:val="161C3356"/>
    <w:rsid w:val="16427D13"/>
    <w:rsid w:val="164E0483"/>
    <w:rsid w:val="168077F8"/>
    <w:rsid w:val="175971C1"/>
    <w:rsid w:val="179E21CE"/>
    <w:rsid w:val="17C417C9"/>
    <w:rsid w:val="17FC0AB4"/>
    <w:rsid w:val="181D051D"/>
    <w:rsid w:val="19421734"/>
    <w:rsid w:val="19505417"/>
    <w:rsid w:val="1A861C11"/>
    <w:rsid w:val="1B6D1F0E"/>
    <w:rsid w:val="1CF60711"/>
    <w:rsid w:val="1E754405"/>
    <w:rsid w:val="1E7C1811"/>
    <w:rsid w:val="1EEF6B5A"/>
    <w:rsid w:val="1F7A7BDD"/>
    <w:rsid w:val="1FCF7899"/>
    <w:rsid w:val="20112FE8"/>
    <w:rsid w:val="211E4363"/>
    <w:rsid w:val="23A45007"/>
    <w:rsid w:val="248655F9"/>
    <w:rsid w:val="24EA789C"/>
    <w:rsid w:val="255911D5"/>
    <w:rsid w:val="25A65A51"/>
    <w:rsid w:val="277D5657"/>
    <w:rsid w:val="27CD66DB"/>
    <w:rsid w:val="28626BCE"/>
    <w:rsid w:val="28FA1F8E"/>
    <w:rsid w:val="28FF0283"/>
    <w:rsid w:val="2990183F"/>
    <w:rsid w:val="29A86EE6"/>
    <w:rsid w:val="29B661FB"/>
    <w:rsid w:val="2A090204"/>
    <w:rsid w:val="2B004B63"/>
    <w:rsid w:val="2C603BDB"/>
    <w:rsid w:val="2CF96358"/>
    <w:rsid w:val="2E460579"/>
    <w:rsid w:val="2F380E06"/>
    <w:rsid w:val="2FE939AE"/>
    <w:rsid w:val="306D597F"/>
    <w:rsid w:val="313F5CD8"/>
    <w:rsid w:val="323A6E2B"/>
    <w:rsid w:val="327E7AFE"/>
    <w:rsid w:val="328D1F3C"/>
    <w:rsid w:val="3333740C"/>
    <w:rsid w:val="33A07A40"/>
    <w:rsid w:val="341D4BC3"/>
    <w:rsid w:val="34643001"/>
    <w:rsid w:val="350D7F97"/>
    <w:rsid w:val="385357F5"/>
    <w:rsid w:val="38D160C4"/>
    <w:rsid w:val="3907659E"/>
    <w:rsid w:val="3A653F5C"/>
    <w:rsid w:val="3B3336B0"/>
    <w:rsid w:val="3B5570E7"/>
    <w:rsid w:val="3C0C5591"/>
    <w:rsid w:val="3C5B4BD1"/>
    <w:rsid w:val="3DE73B9D"/>
    <w:rsid w:val="3F2E7738"/>
    <w:rsid w:val="3F6B13EA"/>
    <w:rsid w:val="3FFBAD56"/>
    <w:rsid w:val="4074424C"/>
    <w:rsid w:val="41980AAB"/>
    <w:rsid w:val="43A6660D"/>
    <w:rsid w:val="43FA6097"/>
    <w:rsid w:val="43FC159A"/>
    <w:rsid w:val="45181006"/>
    <w:rsid w:val="454E56C4"/>
    <w:rsid w:val="45A63B54"/>
    <w:rsid w:val="48942F22"/>
    <w:rsid w:val="491237F0"/>
    <w:rsid w:val="49647D77"/>
    <w:rsid w:val="49B04973"/>
    <w:rsid w:val="4B241572"/>
    <w:rsid w:val="4B752FDA"/>
    <w:rsid w:val="4D0D1DF7"/>
    <w:rsid w:val="4E053885"/>
    <w:rsid w:val="4EA8761A"/>
    <w:rsid w:val="4EB71E32"/>
    <w:rsid w:val="4F9EE81F"/>
    <w:rsid w:val="515B7E88"/>
    <w:rsid w:val="51FC1C0F"/>
    <w:rsid w:val="53175BDF"/>
    <w:rsid w:val="543E3443"/>
    <w:rsid w:val="57A624DB"/>
    <w:rsid w:val="584D616C"/>
    <w:rsid w:val="584F4EF2"/>
    <w:rsid w:val="58633B93"/>
    <w:rsid w:val="59E73D0F"/>
    <w:rsid w:val="5AC94301"/>
    <w:rsid w:val="5B6B31A3"/>
    <w:rsid w:val="5C626621"/>
    <w:rsid w:val="5C9E5181"/>
    <w:rsid w:val="5CB42BA8"/>
    <w:rsid w:val="5F222921"/>
    <w:rsid w:val="5FDA36F7"/>
    <w:rsid w:val="5FFDE784"/>
    <w:rsid w:val="61502F36"/>
    <w:rsid w:val="62A969EB"/>
    <w:rsid w:val="63464323"/>
    <w:rsid w:val="63E257EE"/>
    <w:rsid w:val="67C563CE"/>
    <w:rsid w:val="68A97CC5"/>
    <w:rsid w:val="6AE12DE8"/>
    <w:rsid w:val="6D100E7E"/>
    <w:rsid w:val="6D1055FB"/>
    <w:rsid w:val="6DC618A6"/>
    <w:rsid w:val="6FF5A35C"/>
    <w:rsid w:val="704760C2"/>
    <w:rsid w:val="70A873E0"/>
    <w:rsid w:val="73085C46"/>
    <w:rsid w:val="73663A61"/>
    <w:rsid w:val="736F68EF"/>
    <w:rsid w:val="769E4528"/>
    <w:rsid w:val="77570567"/>
    <w:rsid w:val="776D717F"/>
    <w:rsid w:val="78351146"/>
    <w:rsid w:val="78CD1EBB"/>
    <w:rsid w:val="79125F91"/>
    <w:rsid w:val="7B671F02"/>
    <w:rsid w:val="7B743797"/>
    <w:rsid w:val="7BD75A39"/>
    <w:rsid w:val="7BF73EB2"/>
    <w:rsid w:val="7C544109"/>
    <w:rsid w:val="7DD035F6"/>
    <w:rsid w:val="7E5343DA"/>
    <w:rsid w:val="7F5C6600"/>
    <w:rsid w:val="7F7FBA99"/>
    <w:rsid w:val="7FAFB5F1"/>
    <w:rsid w:val="7FFF06C3"/>
    <w:rsid w:val="83D3580A"/>
    <w:rsid w:val="9F7F1A87"/>
    <w:rsid w:val="BBAEBBBC"/>
    <w:rsid w:val="D8FFAF43"/>
    <w:rsid w:val="F7FB240C"/>
    <w:rsid w:val="FCFBACFC"/>
    <w:rsid w:val="FE6F941B"/>
    <w:rsid w:val="FEDA1645"/>
    <w:rsid w:val="FF5D0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line="240" w:lineRule="auto"/>
      <w:ind w:left="420" w:leftChars="200" w:firstLine="420" w:firstLineChars="200"/>
      <w:jc w:val="left"/>
    </w:pPr>
    <w:rPr>
      <w:rFonts w:ascii="Arial" w:hAnsi="Calibri" w:eastAsia="宋体" w:cs="Times New Roman"/>
      <w:kern w:val="2"/>
      <w:sz w:val="21"/>
      <w:lang w:val="en-US" w:eastAsia="zh-CN" w:bidi="ar-SA"/>
    </w:rPr>
  </w:style>
  <w:style w:type="paragraph" w:styleId="3">
    <w:name w:val="Body Text Indent"/>
    <w:basedOn w:val="1"/>
    <w:qFormat/>
    <w:uiPriority w:val="0"/>
    <w:pPr>
      <w:widowControl w:val="0"/>
      <w:spacing w:line="360" w:lineRule="auto"/>
      <w:ind w:firstLine="570"/>
      <w:jc w:val="left"/>
    </w:pPr>
    <w:rPr>
      <w:rFonts w:ascii="Calibri" w:hAnsi="Calibri" w:eastAsia="宋体" w:cs="Times New Roman"/>
      <w:kern w:val="2"/>
      <w:sz w:val="28"/>
      <w:lang w:val="en-US" w:eastAsia="zh-CN" w:bidi="ar-SA"/>
    </w:rPr>
  </w:style>
  <w:style w:type="paragraph" w:styleId="6">
    <w:name w:val="Normal Indent"/>
    <w:basedOn w:val="1"/>
    <w:qFormat/>
    <w:uiPriority w:val="0"/>
    <w:pPr>
      <w:ind w:firstLine="420"/>
    </w:pPr>
    <w:rPr>
      <w:rFonts w:ascii="Times New Roman" w:hAnsi="Times New Roman"/>
      <w:sz w:val="24"/>
      <w:szCs w:val="20"/>
    </w:rPr>
  </w:style>
  <w:style w:type="paragraph" w:styleId="7">
    <w:name w:val="Body Text"/>
    <w:basedOn w:val="1"/>
    <w:next w:val="1"/>
    <w:qFormat/>
    <w:uiPriority w:val="0"/>
    <w:pPr>
      <w:spacing w:after="120"/>
    </w:pPr>
    <w:rPr>
      <w:rFonts w:ascii="宋体"/>
      <w:sz w:val="24"/>
      <w:szCs w:val="20"/>
    </w:rPr>
  </w:style>
  <w:style w:type="paragraph" w:styleId="8">
    <w:name w:val="footer"/>
    <w:basedOn w:val="1"/>
    <w:unhideWhenUsed/>
    <w:qFormat/>
    <w:uiPriority w:val="0"/>
    <w:pPr>
      <w:tabs>
        <w:tab w:val="center" w:pos="4153"/>
        <w:tab w:val="right" w:pos="8306"/>
      </w:tabs>
      <w:snapToGrid w:val="0"/>
      <w:jc w:val="left"/>
    </w:pPr>
    <w:rPr>
      <w:rFonts w:ascii="Times New Roman" w:hAnsi="Times New Roman" w:eastAsia="Times New Roman"/>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Times New Roman"/>
      <w:sz w:val="18"/>
      <w:szCs w:val="18"/>
    </w:rPr>
  </w:style>
  <w:style w:type="paragraph" w:styleId="10">
    <w:name w:val="toc 1"/>
    <w:basedOn w:val="1"/>
    <w:next w:val="1"/>
    <w:qFormat/>
    <w:uiPriority w:val="0"/>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uiPriority w:val="0"/>
    <w:rPr>
      <w:sz w:val="24"/>
    </w:rPr>
  </w:style>
  <w:style w:type="paragraph" w:styleId="13">
    <w:name w:val="Body Text First Inden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1401</Words>
  <Characters>1525</Characters>
  <Lines>1</Lines>
  <Paragraphs>1</Paragraphs>
  <TotalTime>20</TotalTime>
  <ScaleCrop>false</ScaleCrop>
  <LinksUpToDate>false</LinksUpToDate>
  <CharactersWithSpaces>1596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2025-07-16T10:50:00Z</dcterms:created>
  <dc:creator>DELL</dc:creator>
  <cp:lastModifiedBy>刘继行</cp:lastModifiedBy>
  <dcterms:modified xsi:type="dcterms:W3CDTF">2025-08-15T06:12:48Z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0DBD55209260BDA89F43956873D899B1_43</vt:lpwstr>
  </property>
  <property fmtid="{D5CDD505-2E9C-101B-9397-08002B2CF9AE}" pid="4" name="KSOTemplateDocerSaveRecord">
    <vt:lpwstr>eyJoZGlkIjoiYzI3MGUyNjNlZjJmODVhN2U3MmNhMDYzNDAyNDNhZjciLCJ1c2VySWQiOiIxMjcxNDcxMzM3In0=</vt:lpwstr>
  </property>
</Properties>
</file>