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9686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7" w:name="_GoBack"/>
      <w:bookmarkEnd w:id="7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四川泸州川南发电有限责任公司</w:t>
      </w:r>
    </w:p>
    <w:p w14:paraId="0695B38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劳务用工派遣管理服务</w:t>
      </w:r>
    </w:p>
    <w:p w14:paraId="0AC322F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技术规范书</w:t>
      </w:r>
    </w:p>
    <w:p w14:paraId="09014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B0BF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一、本技术规范书适用于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四川泸州</w:t>
      </w:r>
      <w:bookmarkStart w:id="1" w:name="OLE_LINK6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川南发电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有限责任公司（以下简称川南发电公司）劳务派遣单位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选聘。</w:t>
      </w:r>
    </w:p>
    <w:p w14:paraId="77DAF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</w:t>
      </w:r>
      <w:bookmarkStart w:id="2" w:name="OLE_LINK3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劳务派遣单位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的资质、业绩要求：</w:t>
      </w:r>
    </w:p>
    <w:p w14:paraId="32242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）</w:t>
      </w:r>
      <w:bookmarkStart w:id="3" w:name="OLE_LINK2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劳务派遣单位</w:t>
      </w:r>
      <w:bookmarkEnd w:id="3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为法人或其他组织（非法人组织）；</w:t>
      </w:r>
    </w:p>
    <w:p w14:paraId="39048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劳务派遣单位具有《劳务派遣经营许可证》《人力资源许可证》；</w:t>
      </w:r>
    </w:p>
    <w:p w14:paraId="05B3C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近5年有1个国企劳务派遣管理服务业绩。</w:t>
      </w:r>
    </w:p>
    <w:p w14:paraId="09178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（四）有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  <w:woUserID w:val="0"/>
        </w:rPr>
        <w:t>健全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  <w:woUserID w:val="1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  <w:woUserID w:val="1"/>
        </w:rPr>
        <w:t>安全管理机构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  <w:woUserID w:val="0"/>
        </w:rPr>
        <w:t>并落实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  <w:woUserID w:val="1"/>
        </w:rPr>
        <w:t>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  <w:woUserID w:val="0"/>
        </w:rPr>
        <w:t>安全生产责任制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  <w:woUserID w:val="1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  <w:woUserID w:val="0"/>
        </w:rPr>
        <w:t>配备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  <w:woUserID w:val="1"/>
        </w:rPr>
        <w:t>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  <w:woUserID w:val="0"/>
        </w:rPr>
        <w:t>专职或兼职安全管理人员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  <w:woUserID w:val="1"/>
        </w:rPr>
        <w:t>。</w:t>
      </w:r>
    </w:p>
    <w:p w14:paraId="12F83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三、川南发电公司劳务派遣需求</w:t>
      </w:r>
    </w:p>
    <w:p w14:paraId="46E1F24A">
      <w:pPr>
        <w:pStyle w:val="7"/>
        <w:spacing w:line="576" w:lineRule="exac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《劳务派遣暂行规定》，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川南发电公司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劳务派遣用工数量，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暂定33人。劳务工的工资薪酬由川南发电公司确定，包括基本工资、绩效工资、奖金和各项津贴补贴。其中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绩效工资为浮动工资，根据员工出勤率和工作完成情况进行核定，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奖金和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各项津补贴按公司规定据实计算，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具体如下：</w:t>
      </w:r>
    </w:p>
    <w:p w14:paraId="782548A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）综合管理部内勤，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暂定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人数2人，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基本工资2300，年度工资薪酬约3.5万元。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主要工作内容：负责综合管理部办公区域的环境维护，会务和活动支持，部门行政事务的辅助工作等。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岗位接害因素：无。</w:t>
      </w:r>
    </w:p>
    <w:p w14:paraId="67CA4FB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）综合管理部车辆维护辅助工，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暂定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人数10人，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基本工资2200，年度工资薪酬约6-7万元。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主要工作内容：负责公司安排的各项驾驶任务，用车需求对接与调度，车辆维护与安全保障，用车成本控制和合规管理等工作。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岗位接害因素：职业机动车驾驶作业。</w:t>
      </w:r>
    </w:p>
    <w:p w14:paraId="0DDEA42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）综合管理部消防设备维护辅助工，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暂定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人数12人，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基本工资3000-3400元，年度工资薪酬5-6万元。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主要工作内容：负责公司消防检查与隐患排查，消防设施与应急设备管理，火灾应急预案与实战演练，火灾扑救与应急处置等工作。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岗位接害因素：无。</w:t>
      </w:r>
    </w:p>
    <w:p w14:paraId="58D5DBA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）设备维修部检修辅助工，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暂定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人数4人，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基本工资2500-4200元，年度工资薪酬约4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－6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万元。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主要工作内容：负责协助部门检修人员进行设备检修前的准备工作，检修过程中的核心协助工作，检修后的整理与收尾工作，安全措施的执行与应急配合等工作。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岗位接害因素：电焊烟尘、砂轮磨尘、锰及其无机化合物、一氧化碳、氮氧化物、噪声、电焊弧光。</w:t>
      </w:r>
    </w:p>
    <w:p w14:paraId="7CC66D3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）燃煤质检部煤场整形工，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暂定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人数5人，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基本工资4100-4300元,年度工资薪酬约6万元。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主要工作内容：负责煤场煤炭规范堆放与整形，煤场日常维护与安全管控，工程机械操作与设备维护等工作。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岗位接害因素：煤尘、职业机动车驾驶作业。</w:t>
      </w:r>
    </w:p>
    <w:p w14:paraId="181A443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其他用工需要根据公司发展和生产经营要求进行相应调整。</w:t>
      </w:r>
    </w:p>
    <w:p w14:paraId="3275AC8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劳务派遣单位管理服务工作内容：</w:t>
      </w:r>
    </w:p>
    <w:p w14:paraId="150ADFA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川南发电公司要求，为川南发电公司选派合格的临时性、辅助性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、替代性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劳务用工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与符合用工要求的人员签订劳务派遣劳动合同，建立劳务人员档案，依照泸州市有关社会保险规定的标准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为劳务人员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办理缴交社会保险、退工、工伤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等手续。</w:t>
      </w:r>
    </w:p>
    <w:p w14:paraId="44C9201B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 w:rightChars="0" w:firstLineChars="200"/>
        <w:jc w:val="both"/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  <w:woUserID w:val="1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  <w:woUserID w:val="1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  <w:woUserID w:val="0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  <w:woUserID w:val="1"/>
        </w:rPr>
        <w:t>派遣到公司的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劳务人员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上岗前的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健康检查和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职业健康检查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  <w:woUserID w:val="1"/>
        </w:rPr>
        <w:t>负责对派遣的劳务人员的培训、辞退、工资核算以及劳动关系的管理，按照川南发电公司要求对派遣的劳务人员的组织、调整、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  <w:woUserID w:val="1"/>
        </w:rPr>
        <w:t>奖惩兑现。</w:t>
      </w:r>
    </w:p>
    <w:p w14:paraId="3A9E743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</w:pPr>
      <w:bookmarkStart w:id="4" w:name="OLE_LINK9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川南发电公司按月将劳务工薪酬及服务费（管理服务费单位：元/人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月）支付给劳务派遣单位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劳务派遣单位应于次月25日前支付劳务人员的工资，依法为劳务人员缴纳社会保险费用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并履行企业责任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，劳务派遣单位不按时支付劳务人员的工资和社会保险费用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的，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  <w:woUserID w:val="1"/>
        </w:rPr>
        <w:t>每次扣减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  <w:woUserID w:val="1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  <w:woUserID w:val="1"/>
        </w:rPr>
        <w:t>%履约保证金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  <w:woUserID w:val="1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给川南发电公司和劳务人员造成损失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由劳务派遣单位负责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。</w:t>
      </w:r>
    </w:p>
    <w:p w14:paraId="2CE406C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  <w:woUserID w:val="1"/>
        </w:rPr>
        <w:t>劳务人员的工作期限自劳务人员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到公司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  <w:woUserID w:val="1"/>
        </w:rPr>
        <w:t>工作报到之日起至工作期限届满且劳务人员与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劳务派遣单位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  <w:woUserID w:val="1"/>
        </w:rPr>
        <w:t>办妥交接手续止。</w:t>
      </w:r>
    </w:p>
    <w:p w14:paraId="61DF1A49">
      <w:pPr>
        <w:keepNext w:val="0"/>
        <w:keepLines w:val="0"/>
        <w:widowControl/>
        <w:suppressLineNumbers w:val="0"/>
        <w:autoSpaceDE/>
        <w:autoSpaceDN/>
        <w:spacing w:before="0" w:beforeAutospacing="0" w:after="0" w:afterAutospacing="0" w:line="240" w:lineRule="auto"/>
        <w:ind w:left="0" w:right="0" w:rightChars="0" w:firstLine="640" w:firstLineChars="200"/>
        <w:jc w:val="left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woUserID w:val="1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  <w:woUserID w:val="1"/>
        </w:rPr>
        <w:t>（五）劳务派遣单位需在收到川南发电公司用工需求之日起90日内向川南发电公司派遣符合岗位需求的劳务用工人员，若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" w:bidi="ar"/>
          <w:woUserID w:val="1"/>
        </w:rPr>
        <w:t>逾期3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  <w:woUserID w:val="1"/>
        </w:rPr>
        <w:t>0日还未派遣符合岗位需求的劳务用工人员，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  <w:woUserID w:val="1"/>
        </w:rPr>
        <w:t>每次扣减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" w:bidi="ar"/>
          <w:woUserID w:val="1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  <w:woUserID w:val="1"/>
        </w:rPr>
        <w:t>%履约保证金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  <w:woUserID w:val="1"/>
        </w:rPr>
        <w:t>。</w:t>
      </w:r>
    </w:p>
    <w:p w14:paraId="14E13C9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被派遣的劳务人员在公司工作遭受事故伤害的，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劳务派遣单位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应依法申请工伤认定，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川南发电公司协助工伤认定的调查核实工作。</w:t>
      </w:r>
    </w:p>
    <w:p w14:paraId="70A029D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（七）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劳务派遣单位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协助川南发电公司对被派遣的劳务用工的日常管理，配合川南发电公司处理劳务用工劳动争议、人身伤害理赔。</w:t>
      </w:r>
      <w:bookmarkEnd w:id="4"/>
    </w:p>
    <w:p w14:paraId="20D1625B">
      <w:pPr>
        <w:pStyle w:val="7"/>
        <w:spacing w:line="576" w:lineRule="exact"/>
        <w:ind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劳务派遣单位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  <w:woUserID w:val="1"/>
        </w:rPr>
        <w:t>负责对劳务人员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岗前培训和安全生产教育培训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  <w:woUserID w:val="1"/>
        </w:rPr>
        <w:t>，派遣的劳务人员应具备与派遣工作相适应的安全意识和安全技能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。</w:t>
      </w:r>
    </w:p>
    <w:p w14:paraId="0C663233">
      <w:pPr>
        <w:pStyle w:val="7"/>
        <w:spacing w:line="576" w:lineRule="exact"/>
        <w:ind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劳务派遣单位与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  <w:woUserID w:val="1"/>
        </w:rPr>
        <w:t>劳务人员签订劳动合同等文件时，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应在劳动合同中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告知劳务人员工作中可能接触的职业危害因素，并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  <w:woUserID w:val="1"/>
        </w:rPr>
        <w:t>充分解释说明劳务人员与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劳务派遣单位、川南发电公司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  <w:woUserID w:val="1"/>
        </w:rPr>
        <w:t>之间的法律关系，不得误导劳务人员认为其与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川南发电公司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  <w:woUserID w:val="1"/>
        </w:rPr>
        <w:t>之间存在劳动合同关系。</w:t>
      </w:r>
    </w:p>
    <w:p w14:paraId="14228AB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5" w:name="OLE_LINK5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五、劳务用工派遣</w:t>
      </w:r>
      <w:bookmarkEnd w:id="5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管</w:t>
      </w:r>
      <w:bookmarkStart w:id="6" w:name="OLE_LINK4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理服务</w:t>
      </w:r>
      <w:bookmarkEnd w:id="6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期限：五年，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预计时间为2025年12月1日-20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  <w:woUserID w:val="1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"/>
          <w:woUserID w:val="1"/>
        </w:rPr>
        <w:t>年11月30日，具体以合同签订为准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723CF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六、技术评审表</w:t>
      </w:r>
    </w:p>
    <w:p w14:paraId="76F426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  <w:woUserID w:val="1"/>
        </w:rPr>
      </w:pPr>
      <w:r>
        <w:rPr>
          <w:rFonts w:hint="eastAsia"/>
          <w:sz w:val="30"/>
          <w:szCs w:val="30"/>
          <w:lang w:val="en-US" w:eastAsia="zh-CN"/>
          <w:woUserID w:val="1"/>
        </w:rPr>
        <w:t>技术评审表</w:t>
      </w:r>
    </w:p>
    <w:tbl>
      <w:tblPr>
        <w:tblStyle w:val="5"/>
        <w:tblpPr w:leftFromText="180" w:rightFromText="180" w:vertAnchor="page" w:horzAnchor="page" w:tblpX="938" w:tblpY="9288"/>
        <w:tblOverlap w:val="never"/>
        <w:tblW w:w="10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65"/>
        <w:gridCol w:w="6210"/>
        <w:gridCol w:w="765"/>
        <w:gridCol w:w="930"/>
      </w:tblGrid>
      <w:tr w14:paraId="20F1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55" w:type="dxa"/>
            <w:vAlign w:val="center"/>
          </w:tcPr>
          <w:p w14:paraId="74FE9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65" w:type="dxa"/>
            <w:vAlign w:val="center"/>
          </w:tcPr>
          <w:p w14:paraId="5FBB5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  <w:r>
              <w:rPr>
                <w:rFonts w:hint="eastAsia"/>
                <w:szCs w:val="21"/>
                <w:lang w:val="en-US" w:eastAsia="zh-CN"/>
              </w:rPr>
              <w:t>审</w:t>
            </w: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6210" w:type="dxa"/>
            <w:vAlign w:val="center"/>
          </w:tcPr>
          <w:p w14:paraId="518E2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  <w:r>
              <w:rPr>
                <w:rFonts w:hint="eastAsia"/>
                <w:szCs w:val="21"/>
                <w:lang w:val="en-US" w:eastAsia="zh-CN"/>
              </w:rPr>
              <w:t>审</w:t>
            </w:r>
            <w:r>
              <w:rPr>
                <w:rFonts w:hint="eastAsia"/>
                <w:szCs w:val="21"/>
              </w:rPr>
              <w:t>标准</w:t>
            </w:r>
          </w:p>
        </w:tc>
        <w:tc>
          <w:tcPr>
            <w:tcW w:w="765" w:type="dxa"/>
          </w:tcPr>
          <w:p w14:paraId="267F66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标准</w:t>
            </w: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930" w:type="dxa"/>
            <w:vAlign w:val="center"/>
          </w:tcPr>
          <w:p w14:paraId="56073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366F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555" w:type="dxa"/>
            <w:vAlign w:val="center"/>
          </w:tcPr>
          <w:p w14:paraId="25630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965" w:type="dxa"/>
            <w:vAlign w:val="center"/>
          </w:tcPr>
          <w:p w14:paraId="689EA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业绩</w:t>
            </w:r>
          </w:p>
        </w:tc>
        <w:tc>
          <w:tcPr>
            <w:tcW w:w="6210" w:type="dxa"/>
            <w:vAlign w:val="center"/>
          </w:tcPr>
          <w:p w14:paraId="129F9E7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"/>
                <w:woUserID w:val="1"/>
              </w:rPr>
              <w:t>①投标人在5年内（</w:t>
            </w: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lang w:eastAsia="zh"/>
                <w:woUserID w:val="1"/>
              </w:rPr>
              <w:t>至今）具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szCs w:val="21"/>
              </w:rPr>
              <w:t>1个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国企劳务用工派遣管理服务</w:t>
            </w:r>
            <w:r>
              <w:rPr>
                <w:rFonts w:hint="eastAsia" w:ascii="宋体" w:hAnsi="宋体" w:cs="宋体"/>
                <w:szCs w:val="21"/>
              </w:rPr>
              <w:t>业绩得</w:t>
            </w:r>
            <w:r>
              <w:rPr>
                <w:rFonts w:hint="eastAsia" w:ascii="宋体" w:hAnsi="宋体" w:cs="宋体"/>
                <w:szCs w:val="21"/>
                <w:lang w:eastAsia="zh"/>
                <w:woUserID w:val="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 w:cs="宋体"/>
                <w:szCs w:val="21"/>
                <w:lang w:eastAsia="zh"/>
                <w:woUserID w:val="1"/>
              </w:rPr>
              <w:t>。</w:t>
            </w:r>
          </w:p>
          <w:p w14:paraId="1F4A17C2">
            <w:pPr>
              <w:pStyle w:val="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②每增加1个劳务用工派遣管理服务业绩加4分；</w:t>
            </w:r>
          </w:p>
          <w:p w14:paraId="7D9C14AC">
            <w:pPr>
              <w:pStyle w:val="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③每增加1个火电厂劳务用工派遣管理服务业绩加5分；</w:t>
            </w:r>
          </w:p>
          <w:p w14:paraId="54F847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同一个业绩不重复加分，①＋②+③不超过50分。</w:t>
            </w:r>
          </w:p>
          <w:p w14:paraId="5ECD54D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/>
              </w:rPr>
            </w:pPr>
          </w:p>
        </w:tc>
        <w:tc>
          <w:tcPr>
            <w:tcW w:w="765" w:type="dxa"/>
            <w:vAlign w:val="center"/>
          </w:tcPr>
          <w:p w14:paraId="47F1F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"/>
                <w:woUserID w:val="1"/>
              </w:rPr>
              <w:t>50</w:t>
            </w:r>
          </w:p>
        </w:tc>
        <w:tc>
          <w:tcPr>
            <w:tcW w:w="930" w:type="dxa"/>
          </w:tcPr>
          <w:p w14:paraId="2EAB1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 w14:paraId="06D7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555" w:type="dxa"/>
            <w:vAlign w:val="center"/>
          </w:tcPr>
          <w:p w14:paraId="487FD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965" w:type="dxa"/>
            <w:vAlign w:val="center"/>
          </w:tcPr>
          <w:p w14:paraId="18939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"/>
                <w:woUserID w:val="1"/>
              </w:rPr>
              <w:t>组织机构</w:t>
            </w:r>
          </w:p>
        </w:tc>
        <w:tc>
          <w:tcPr>
            <w:tcW w:w="6210" w:type="dxa"/>
            <w:vAlign w:val="center"/>
          </w:tcPr>
          <w:p w14:paraId="0C2BA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szCs w:val="21"/>
                <w:lang w:eastAsia="zh"/>
                <w:woUserID w:val="1"/>
              </w:rPr>
              <w:t>①</w:t>
            </w:r>
            <w:r>
              <w:rPr>
                <w:rFonts w:hint="eastAsia" w:ascii="宋体" w:hAnsi="宋体"/>
                <w:color w:val="000000"/>
                <w:szCs w:val="21"/>
                <w:lang w:val="en-US" w:eastAsia="zh"/>
                <w:woUserID w:val="1"/>
              </w:rPr>
              <w:t>项目</w:t>
            </w:r>
            <w:r>
              <w:rPr>
                <w:rFonts w:hint="eastAsia" w:ascii="宋体" w:hAnsi="宋体"/>
                <w:color w:val="000000"/>
                <w:szCs w:val="21"/>
              </w:rPr>
              <w:t>负责人</w:t>
            </w:r>
            <w:r>
              <w:rPr>
                <w:rFonts w:hint="eastAsia" w:ascii="宋体" w:hAnsi="宋体"/>
                <w:color w:val="000000"/>
                <w:szCs w:val="21"/>
                <w:lang w:eastAsia="zh"/>
                <w:woUserID w:val="1"/>
              </w:rPr>
              <w:t>或经理</w:t>
            </w:r>
            <w:r>
              <w:rPr>
                <w:rFonts w:hint="eastAsia"/>
              </w:rPr>
              <w:t>具有</w:t>
            </w:r>
            <w:r>
              <w:rPr>
                <w:rFonts w:hint="eastAsia"/>
                <w:lang w:val="en-US" w:eastAsia="zh-CN"/>
              </w:rPr>
              <w:t>人力资源管理师执业资格证书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分。</w:t>
            </w:r>
          </w:p>
          <w:p w14:paraId="209E5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②根据项目组织机构人员配置情况横向比较进行评分，最优得15分，其他横向比较酌情扣分。</w:t>
            </w:r>
          </w:p>
          <w:p w14:paraId="7723C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①＋②不超过20分。</w:t>
            </w:r>
          </w:p>
        </w:tc>
        <w:tc>
          <w:tcPr>
            <w:tcW w:w="765" w:type="dxa"/>
            <w:vAlign w:val="center"/>
          </w:tcPr>
          <w:p w14:paraId="5D7AA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930" w:type="dxa"/>
          </w:tcPr>
          <w:p w14:paraId="7798D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 w14:paraId="1EC2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555" w:type="dxa"/>
            <w:vAlign w:val="center"/>
          </w:tcPr>
          <w:p w14:paraId="1F083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965" w:type="dxa"/>
            <w:vAlign w:val="center"/>
          </w:tcPr>
          <w:p w14:paraId="13E9D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 w:bidi="ar"/>
              </w:rPr>
              <w:t>管理服务方案</w:t>
            </w:r>
          </w:p>
        </w:tc>
        <w:tc>
          <w:tcPr>
            <w:tcW w:w="6210" w:type="dxa"/>
            <w:vAlign w:val="center"/>
          </w:tcPr>
          <w:p w14:paraId="0A2F9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lang w:val="en-US" w:eastAsia="zh"/>
                <w:woUserID w:val="1"/>
              </w:rPr>
              <w:t>根据投标人管理服务方案的合理性、针对性、完整性进行评分，优得14-20分；良好8-13分；差得1-7分。</w:t>
            </w:r>
          </w:p>
        </w:tc>
        <w:tc>
          <w:tcPr>
            <w:tcW w:w="765" w:type="dxa"/>
            <w:vAlign w:val="center"/>
          </w:tcPr>
          <w:p w14:paraId="38723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20</w:t>
            </w:r>
          </w:p>
        </w:tc>
        <w:tc>
          <w:tcPr>
            <w:tcW w:w="930" w:type="dxa"/>
          </w:tcPr>
          <w:p w14:paraId="099C4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 w14:paraId="7B67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555" w:type="dxa"/>
            <w:vAlign w:val="center"/>
          </w:tcPr>
          <w:p w14:paraId="09426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"/>
                <w:woUserID w:val="1"/>
              </w:rPr>
              <w:t>4</w:t>
            </w:r>
          </w:p>
        </w:tc>
        <w:tc>
          <w:tcPr>
            <w:tcW w:w="1965" w:type="dxa"/>
            <w:vAlign w:val="center"/>
          </w:tcPr>
          <w:p w14:paraId="411E4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响应/申请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文件完整性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及对采购文件的响应性</w:t>
            </w:r>
          </w:p>
        </w:tc>
        <w:tc>
          <w:tcPr>
            <w:tcW w:w="6210" w:type="dxa"/>
            <w:vAlign w:val="center"/>
          </w:tcPr>
          <w:p w14:paraId="25097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响应/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申请文件完整性及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对采购文件的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响应程度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"/>
                <w:woUserID w:val="1"/>
              </w:rPr>
              <w:t>差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（1-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  <w:p w14:paraId="575FC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响应/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申请文件完整性及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对采购文件的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响应程度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"/>
                <w:woUserID w:val="1"/>
              </w:rPr>
              <w:t>一般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  <w:p w14:paraId="713E1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响应/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申请文件完整性及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对采购文件的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响应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好（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"/>
              </w:rPr>
              <w:t>0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分）</w:t>
            </w:r>
          </w:p>
        </w:tc>
        <w:tc>
          <w:tcPr>
            <w:tcW w:w="765" w:type="dxa"/>
            <w:vAlign w:val="center"/>
          </w:tcPr>
          <w:p w14:paraId="551D3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"/>
                <w:woUserID w:val="1"/>
              </w:rPr>
              <w:t>10</w:t>
            </w:r>
          </w:p>
        </w:tc>
        <w:tc>
          <w:tcPr>
            <w:tcW w:w="930" w:type="dxa"/>
          </w:tcPr>
          <w:p w14:paraId="2058E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</w:tbl>
    <w:p w14:paraId="27BF5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jc w:val="center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 w14:paraId="614B1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jc w:val="center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 w14:paraId="19E30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jc w:val="center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 w14:paraId="3CC4E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jc w:val="center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 w14:paraId="3649F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jc w:val="center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 w14:paraId="05516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jc w:val="center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 w14:paraId="70849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jc w:val="center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 w14:paraId="259F3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7E9B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BF80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D3597"/>
    <w:rsid w:val="004042A6"/>
    <w:rsid w:val="01031C61"/>
    <w:rsid w:val="0345496C"/>
    <w:rsid w:val="035D3B66"/>
    <w:rsid w:val="03CC5A5F"/>
    <w:rsid w:val="06640C4D"/>
    <w:rsid w:val="067D3597"/>
    <w:rsid w:val="06A0068E"/>
    <w:rsid w:val="0772628C"/>
    <w:rsid w:val="09914B97"/>
    <w:rsid w:val="0E537069"/>
    <w:rsid w:val="13C418C0"/>
    <w:rsid w:val="162611CE"/>
    <w:rsid w:val="1958642C"/>
    <w:rsid w:val="1E48323A"/>
    <w:rsid w:val="20EE1357"/>
    <w:rsid w:val="22514DEB"/>
    <w:rsid w:val="25F221C0"/>
    <w:rsid w:val="2A194D69"/>
    <w:rsid w:val="2B077149"/>
    <w:rsid w:val="2C1C2D7F"/>
    <w:rsid w:val="30C51F24"/>
    <w:rsid w:val="344C2A62"/>
    <w:rsid w:val="36BB5C07"/>
    <w:rsid w:val="38242A7B"/>
    <w:rsid w:val="38E008DD"/>
    <w:rsid w:val="3A151EC6"/>
    <w:rsid w:val="3F185BCC"/>
    <w:rsid w:val="49E6066B"/>
    <w:rsid w:val="4B07344F"/>
    <w:rsid w:val="4B820E0B"/>
    <w:rsid w:val="4B9D53AB"/>
    <w:rsid w:val="4E597298"/>
    <w:rsid w:val="514A03E5"/>
    <w:rsid w:val="5AC93DD3"/>
    <w:rsid w:val="5AF235EE"/>
    <w:rsid w:val="5B765C0C"/>
    <w:rsid w:val="5DEB7B17"/>
    <w:rsid w:val="5E59DC46"/>
    <w:rsid w:val="5EBF9730"/>
    <w:rsid w:val="5F6DFA55"/>
    <w:rsid w:val="5FFBE033"/>
    <w:rsid w:val="60695CA5"/>
    <w:rsid w:val="64F06DC1"/>
    <w:rsid w:val="65F8270C"/>
    <w:rsid w:val="696D0F08"/>
    <w:rsid w:val="6BC75A91"/>
    <w:rsid w:val="6BE93E71"/>
    <w:rsid w:val="6C223F7F"/>
    <w:rsid w:val="6C597151"/>
    <w:rsid w:val="6FFFA18D"/>
    <w:rsid w:val="75124D46"/>
    <w:rsid w:val="75293BF8"/>
    <w:rsid w:val="75FFB24B"/>
    <w:rsid w:val="79313A66"/>
    <w:rsid w:val="7B3FCA4E"/>
    <w:rsid w:val="7B8173B1"/>
    <w:rsid w:val="7BD21EB4"/>
    <w:rsid w:val="7D7FC79B"/>
    <w:rsid w:val="7D8249B0"/>
    <w:rsid w:val="7D895392"/>
    <w:rsid w:val="7DFF9C5F"/>
    <w:rsid w:val="7DFFC217"/>
    <w:rsid w:val="7EDEB893"/>
    <w:rsid w:val="7F6DF7E5"/>
    <w:rsid w:val="95374A01"/>
    <w:rsid w:val="B5AFCDF9"/>
    <w:rsid w:val="CFBFF9EC"/>
    <w:rsid w:val="D5FB544B"/>
    <w:rsid w:val="D7EFC4F8"/>
    <w:rsid w:val="DE5E8C67"/>
    <w:rsid w:val="DEAF1EFC"/>
    <w:rsid w:val="F999E91E"/>
    <w:rsid w:val="FE8A8947"/>
    <w:rsid w:val="FF3FB23C"/>
    <w:rsid w:val="FFE364B3"/>
    <w:rsid w:val="FFFDBC65"/>
    <w:rsid w:val="FFFE932A"/>
    <w:rsid w:val="FFFFD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Cs w:val="21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3379</Words>
  <Characters>3533</Characters>
  <Lines>1</Lines>
  <Paragraphs>1</Paragraphs>
  <TotalTime>0</TotalTime>
  <ScaleCrop>false</ScaleCrop>
  <LinksUpToDate>false</LinksUpToDate>
  <CharactersWithSpaces>3574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2021-03-31T17:31:00Z</dcterms:created>
  <dc:creator>蒋李真</dc:creator>
  <cp:lastModifiedBy>刘继行</cp:lastModifiedBy>
  <cp:lastPrinted>2021-04-01T00:04:00Z</cp:lastPrinted>
  <dcterms:modified xsi:type="dcterms:W3CDTF">2025-10-16T01:07:22Z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10202EF77C3EB7272B6AE8685CEB34D7_43</vt:lpwstr>
  </property>
  <property fmtid="{D5CDD505-2E9C-101B-9397-08002B2CF9AE}" pid="4" name="KSOTemplateDocerSaveRecord">
    <vt:lpwstr>eyJoZGlkIjoiYzI3MGUyNjNlZjJmODVhN2U3MmNhMDYzNDAyNDNhZjciLCJ1c2VySWQiOiIxMjcxNDcxMzM3In0=</vt:lpwstr>
  </property>
</Properties>
</file>