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6E2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2026-2027年常年法律顾问服务项目</w:t>
      </w:r>
    </w:p>
    <w:p w14:paraId="40E8B0E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服务要求</w:t>
      </w:r>
    </w:p>
    <w:p w14:paraId="032F3FAD">
      <w:pPr>
        <w:rPr>
          <w:rFonts w:hint="eastAsia"/>
          <w:lang w:val="en-US" w:eastAsia="zh-CN"/>
        </w:rPr>
      </w:pPr>
    </w:p>
    <w:p w14:paraId="0D707674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  <w:lang w:val="en-US" w:eastAsia="zh"/>
          <w:woUserID w:val="1"/>
        </w:rPr>
        <w:t>响应</w:t>
      </w:r>
      <w:r>
        <w:rPr>
          <w:rFonts w:hint="eastAsia" w:ascii="黑体" w:hAnsi="黑体" w:eastAsia="黑体" w:cs="黑体"/>
          <w:lang w:val="en-US" w:eastAsia="zh-CN"/>
        </w:rPr>
        <w:t>人需提供的资料</w:t>
      </w:r>
    </w:p>
    <w:p w14:paraId="35BF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2"/>
          <w:lang w:val="en-US" w:eastAsia="zh-CN"/>
        </w:rPr>
        <w:t>（一）资格材料</w:t>
      </w:r>
    </w:p>
    <w:p w14:paraId="2873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响应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人应具备下列资质：</w:t>
      </w:r>
    </w:p>
    <w:p w14:paraId="3336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1.依法设立，具有相应执业资质（需提供律所营业执照复印件，盖公章）;</w:t>
      </w:r>
    </w:p>
    <w:p w14:paraId="74BA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2.合法经营、依法执业，遵守法律法规、职业道德和执业准则，有良好社会信誉（需提供印证材料或相关承诺书）;</w:t>
      </w:r>
    </w:p>
    <w:p w14:paraId="0CDC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3.按规定通过了有关部门的年度检验（需提供律所执业许可证封面、内页、最近三次年审页等复印件，盖公章）;</w:t>
      </w:r>
    </w:p>
    <w:p w14:paraId="202E6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4.近三年提供的中介服务未因重大执业质量等问题受到省国资委通报（需提供印证材料或相关承诺书）;</w:t>
      </w:r>
    </w:p>
    <w:p w14:paraId="6EE3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5.不存在“弄虚作假、恶意串通、营私舞弊等严重不诚信行为的;分别接受利益相对方委托，就同一事项提供有利益冲突的中介服务的;出具虚假或重大失实的业务报告的;违反中介服务合同约定给委托方造成重大损失的”等情形（需提供印证材料或相关承诺书）。</w:t>
      </w:r>
    </w:p>
    <w:p w14:paraId="7D78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（二）履约材料</w:t>
      </w:r>
    </w:p>
    <w:p w14:paraId="442A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人员配置表</w:t>
      </w:r>
    </w:p>
    <w:tbl>
      <w:tblPr>
        <w:tblStyle w:val="6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71"/>
        <w:gridCol w:w="1092"/>
        <w:gridCol w:w="2002"/>
        <w:gridCol w:w="1634"/>
        <w:gridCol w:w="1505"/>
      </w:tblGrid>
      <w:tr w14:paraId="0575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804" w:type="dxa"/>
            <w:vMerge w:val="restart"/>
            <w:vAlign w:val="center"/>
          </w:tcPr>
          <w:p w14:paraId="695F1673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序号</w:t>
            </w:r>
          </w:p>
        </w:tc>
        <w:tc>
          <w:tcPr>
            <w:tcW w:w="1371" w:type="dxa"/>
            <w:vMerge w:val="restart"/>
            <w:vAlign w:val="center"/>
          </w:tcPr>
          <w:p w14:paraId="1C38C7F0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姓名</w:t>
            </w:r>
          </w:p>
        </w:tc>
        <w:tc>
          <w:tcPr>
            <w:tcW w:w="1092" w:type="dxa"/>
            <w:vMerge w:val="restart"/>
            <w:vAlign w:val="center"/>
          </w:tcPr>
          <w:p w14:paraId="6D397F08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职称</w:t>
            </w:r>
          </w:p>
        </w:tc>
        <w:tc>
          <w:tcPr>
            <w:tcW w:w="2002" w:type="dxa"/>
            <w:vMerge w:val="restart"/>
          </w:tcPr>
          <w:p w14:paraId="1CDBBC48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联系</w:t>
            </w:r>
          </w:p>
          <w:p w14:paraId="586E6694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方式</w:t>
            </w:r>
          </w:p>
        </w:tc>
        <w:tc>
          <w:tcPr>
            <w:tcW w:w="3139" w:type="dxa"/>
            <w:gridSpan w:val="2"/>
          </w:tcPr>
          <w:p w14:paraId="13681FFD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执业或职业资格证</w:t>
            </w:r>
          </w:p>
        </w:tc>
      </w:tr>
      <w:tr w14:paraId="1B9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804" w:type="dxa"/>
            <w:vMerge w:val="continue"/>
            <w:vAlign w:val="center"/>
          </w:tcPr>
          <w:p w14:paraId="27ADDE01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序号</w:t>
            </w:r>
          </w:p>
        </w:tc>
        <w:tc>
          <w:tcPr>
            <w:tcW w:w="1371" w:type="dxa"/>
            <w:vMerge w:val="continue"/>
            <w:vAlign w:val="center"/>
          </w:tcPr>
          <w:p w14:paraId="54ADA231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姓名</w:t>
            </w:r>
          </w:p>
        </w:tc>
        <w:tc>
          <w:tcPr>
            <w:tcW w:w="1092" w:type="dxa"/>
            <w:vMerge w:val="continue"/>
            <w:vAlign w:val="center"/>
          </w:tcPr>
          <w:p w14:paraId="6D4D4913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</w:pPr>
          </w:p>
        </w:tc>
        <w:tc>
          <w:tcPr>
            <w:tcW w:w="2002" w:type="dxa"/>
            <w:vMerge w:val="continue"/>
            <w:vAlign w:val="center"/>
          </w:tcPr>
          <w:p w14:paraId="0F4D6DD1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职称</w:t>
            </w:r>
          </w:p>
        </w:tc>
        <w:tc>
          <w:tcPr>
            <w:tcW w:w="1634" w:type="dxa"/>
            <w:vAlign w:val="center"/>
          </w:tcPr>
          <w:p w14:paraId="62B74914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证书名称</w:t>
            </w:r>
          </w:p>
        </w:tc>
        <w:tc>
          <w:tcPr>
            <w:tcW w:w="1505" w:type="dxa"/>
            <w:vAlign w:val="center"/>
          </w:tcPr>
          <w:p w14:paraId="0A2FED1E">
            <w:pPr>
              <w:keepNext/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kern w:val="0"/>
                <w:lang w:eastAsia="uk-UA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eastAsia="uk-UA"/>
              </w:rPr>
              <w:t>级别</w:t>
            </w:r>
          </w:p>
        </w:tc>
      </w:tr>
      <w:tr w14:paraId="45A6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4" w:type="dxa"/>
          </w:tcPr>
          <w:p w14:paraId="0FB2FA4B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371" w:type="dxa"/>
          </w:tcPr>
          <w:p w14:paraId="08F54F48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092" w:type="dxa"/>
          </w:tcPr>
          <w:p w14:paraId="63EB3C51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2002" w:type="dxa"/>
          </w:tcPr>
          <w:p w14:paraId="751BD4EC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634" w:type="dxa"/>
          </w:tcPr>
          <w:p w14:paraId="61CFD5A3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505" w:type="dxa"/>
          </w:tcPr>
          <w:p w14:paraId="78277D55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</w:tr>
      <w:tr w14:paraId="5A99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4" w:type="dxa"/>
          </w:tcPr>
          <w:p w14:paraId="3DBD8650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371" w:type="dxa"/>
          </w:tcPr>
          <w:p w14:paraId="4EF60495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092" w:type="dxa"/>
          </w:tcPr>
          <w:p w14:paraId="1F8A44DE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2002" w:type="dxa"/>
          </w:tcPr>
          <w:p w14:paraId="50086995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634" w:type="dxa"/>
          </w:tcPr>
          <w:p w14:paraId="664EEB9C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  <w:tc>
          <w:tcPr>
            <w:tcW w:w="1505" w:type="dxa"/>
          </w:tcPr>
          <w:p w14:paraId="341873AD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kern w:val="0"/>
                <w:lang w:eastAsia="uk-UA"/>
              </w:rPr>
            </w:pPr>
          </w:p>
        </w:tc>
      </w:tr>
    </w:tbl>
    <w:p w14:paraId="0A77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5360A49D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二、项目执行内容</w:t>
      </w:r>
    </w:p>
    <w:p w14:paraId="79B6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响应</w:t>
      </w: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人（下称乙方）应向四川泸州川南发电有限责任公司（下称甲方）提供常年法律顾问服务，具体内容如下：</w:t>
      </w:r>
    </w:p>
    <w:p w14:paraId="2841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1.当甲方提起法律咨询事项，乙方应根据甲方要求以口头或书面方式答复甲方，就相关事务提出法律意见;</w:t>
      </w:r>
    </w:p>
    <w:p w14:paraId="61AD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2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.应甲方要求，参与相关事务谈判，提供招投标法律咨询服务，根据甲方需要提供法律咨询，出具法律意见书;</w:t>
      </w:r>
    </w:p>
    <w:p w14:paraId="1068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3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.应甲方要求，起草、审查合同及公司与权利义务相关方的往来函件;</w:t>
      </w:r>
    </w:p>
    <w:p w14:paraId="6389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4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.应甲方要求出具律师函、见证书、法律意见书;</w:t>
      </w:r>
    </w:p>
    <w:p w14:paraId="36C4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5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.应甲方要求参与协调或处理其他非诉讼法律事务;</w:t>
      </w:r>
    </w:p>
    <w:p w14:paraId="6EE1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6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.受甲方委托对专门事项进行法律专题研究，提供专项咨询报告;</w:t>
      </w:r>
    </w:p>
    <w:p w14:paraId="3028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7</w:t>
      </w: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.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受甲方委托代理，根据甲方的诉求参与行政听证、复议等程序;</w:t>
      </w:r>
    </w:p>
    <w:p w14:paraId="112C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8</w:t>
      </w: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.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根据甲方普法活动安排和要求，为甲方提供现场或线上培训服务。</w:t>
      </w:r>
    </w:p>
    <w:p w14:paraId="223D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9</w:t>
      </w:r>
      <w:r>
        <w:rPr>
          <w:rFonts w:hint="eastAsia" w:ascii="仿宋_GB2312" w:hAnsi="仿宋_GB2312" w:cs="仿宋_GB2312"/>
          <w:sz w:val="28"/>
          <w:szCs w:val="22"/>
          <w:lang w:val="en-US" w:eastAsia="zh"/>
          <w:woUserID w:val="1"/>
        </w:rPr>
        <w:t>.</w:t>
      </w:r>
      <w:r>
        <w:rPr>
          <w:rFonts w:hint="eastAsia" w:ascii="仿宋_GB2312" w:hAnsi="仿宋_GB2312" w:cs="仿宋_GB2312"/>
          <w:sz w:val="28"/>
          <w:szCs w:val="22"/>
          <w:lang w:val="en-US" w:eastAsia="zh-CN"/>
          <w:woUserID w:val="1"/>
        </w:rPr>
        <w:t>处理甲方生产经营期间的其他法律事务。</w:t>
      </w:r>
    </w:p>
    <w:p w14:paraId="30C31053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三、服务期限</w:t>
      </w:r>
    </w:p>
    <w:p w14:paraId="49E4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两年，预计为2026年1月1日至2027年12月31日。</w:t>
      </w:r>
    </w:p>
    <w:p w14:paraId="402C7718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四、项目要求</w:t>
      </w:r>
    </w:p>
    <w:p w14:paraId="1DC1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1.乙方应至少指派2名律师为公司提供法律顾问服务。</w:t>
      </w:r>
    </w:p>
    <w:p w14:paraId="773B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2.乙方指派的律师应及时为甲方提供法律事务服务，指派律师因故无法办理甲方法律事务的，乙方应另行指派其他律师代行工作。</w:t>
      </w:r>
    </w:p>
    <w:p w14:paraId="2E3A3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3.乙方律师开展法律顾问工作中涉及的甲方业务商业秘密，乙方应予保密。</w:t>
      </w:r>
    </w:p>
    <w:p w14:paraId="799D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4.本合同履行中，乙方律师应勤勉尽职。</w:t>
      </w:r>
    </w:p>
    <w:p w14:paraId="7177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5.出现下列情形之一的，甲方有权解除合同，因此给甲方造成的损失由乙方负责赔偿，赔偿限额为年度顾问服务费:</w:t>
      </w:r>
    </w:p>
    <w:p w14:paraId="225D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(1)乙方弄虚作假、恶意串通、营私舞弊等严重不诚信行为;</w:t>
      </w:r>
    </w:p>
    <w:p w14:paraId="75D6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(2)乙方分别接受利益相对方委托，就同一事项提供有利益冲突的中介服务:</w:t>
      </w:r>
    </w:p>
    <w:p w14:paraId="3AB4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(3)乙方与利益相对方单位负责人为同一人或存在股权关系、管理关系;</w:t>
      </w:r>
    </w:p>
    <w:p w14:paraId="6627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(4)乙方出具虚假或重大失实的专项法律意见、报告;</w:t>
      </w:r>
    </w:p>
    <w:p w14:paraId="76D0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(5)乙方违反合同约定给甲方造成重大损失。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1C9D"/>
    <w:rsid w:val="0AF8130C"/>
    <w:rsid w:val="0EA36093"/>
    <w:rsid w:val="10201119"/>
    <w:rsid w:val="187B288E"/>
    <w:rsid w:val="19A27016"/>
    <w:rsid w:val="26567DF3"/>
    <w:rsid w:val="2AEC7478"/>
    <w:rsid w:val="2B2735D2"/>
    <w:rsid w:val="325C0EA9"/>
    <w:rsid w:val="32CC417D"/>
    <w:rsid w:val="37287AB6"/>
    <w:rsid w:val="476253CB"/>
    <w:rsid w:val="47AF23EC"/>
    <w:rsid w:val="515775A2"/>
    <w:rsid w:val="549C3B4A"/>
    <w:rsid w:val="59D42E6D"/>
    <w:rsid w:val="64F75140"/>
    <w:rsid w:val="65F9AF15"/>
    <w:rsid w:val="68817D1C"/>
    <w:rsid w:val="6CFA1362"/>
    <w:rsid w:val="746D6EC3"/>
    <w:rsid w:val="78D50B4D"/>
    <w:rsid w:val="7D2766B0"/>
    <w:rsid w:val="7DFB3C41"/>
    <w:rsid w:val="7F224C4B"/>
    <w:rsid w:val="7F7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Calibri" w:hAnsi="Calibri" w:eastAsia="方正小标宋_GBK" w:cs="Times New Roman"/>
      <w:kern w:val="44"/>
      <w:sz w:val="44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_GB2312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styleId="8">
    <w:name w:val="footnote reference"/>
    <w:basedOn w:val="7"/>
    <w:uiPriority w:val="0"/>
    <w:rPr>
      <w:rFonts w:ascii="Calibri" w:hAnsi="Calibri" w:eastAsia="仿宋_GB2312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1046</Words>
  <Characters>1091</Characters>
  <Lines>0</Lines>
  <Paragraphs>0</Paragraphs>
  <TotalTime>0</TotalTime>
  <ScaleCrop>false</ScaleCrop>
  <LinksUpToDate>false</LinksUpToDate>
  <CharactersWithSpaces>1091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2024-12-02T14:08:00Z</dcterms:created>
  <dc:creator>Administrator</dc:creator>
  <cp:lastModifiedBy>刘继行</cp:lastModifiedBy>
  <dcterms:modified xsi:type="dcterms:W3CDTF">2025-11-25T15:04:35Z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A55BE113640EA513035525698F4B394D_43</vt:lpwstr>
  </property>
  <property fmtid="{D5CDD505-2E9C-101B-9397-08002B2CF9AE}" pid="4" name="KSOTemplateDocerSaveRecord">
    <vt:lpwstr>eyJoZGlkIjoiYzI3MGUyNjNlZjJmODVhN2U3MmNhMDYzNDAyNDNhZjciLCJ1c2VySWQiOiIxMjcxNDcxMzM3In0=</vt:lpwstr>
  </property>
</Properties>
</file>