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9DBC">
      <w:pPr>
        <w:spacing w:before="100" w:beforeAutospacing="1" w:after="100" w:afterAutospacing="1" w:line="360" w:lineRule="auto"/>
        <w:ind w:left="345" w:leftChars="-187" w:right="-606" w:rightChars="-289" w:hanging="737"/>
        <w:rPr>
          <w:rFonts w:hint="eastAsia" w:asciiTheme="minorEastAsia" w:hAnsiTheme="minorEastAsia" w:eastAsiaTheme="minorEastAsia" w:cstheme="minorEastAsia"/>
          <w:bCs/>
          <w:color w:val="auto"/>
          <w:sz w:val="24"/>
          <w:highlight w:val="none"/>
        </w:rPr>
      </w:pPr>
      <w:permStart w:id="0" w:edGrp="everyone"/>
      <w:permEnd w:id="0"/>
    </w:p>
    <w:p w14:paraId="5F69D5DA">
      <w:pPr>
        <w:jc w:val="center"/>
        <w:rPr>
          <w:rFonts w:hint="eastAsia" w:asciiTheme="minorEastAsia" w:hAnsiTheme="minorEastAsia" w:eastAsiaTheme="minorEastAsia" w:cstheme="minorEastAsia"/>
          <w:color w:val="auto"/>
          <w:sz w:val="24"/>
          <w:highlight w:val="none"/>
        </w:rPr>
      </w:pPr>
    </w:p>
    <w:p w14:paraId="707B68C0">
      <w:pPr>
        <w:rPr>
          <w:rFonts w:hint="eastAsia" w:asciiTheme="minorEastAsia" w:hAnsiTheme="minorEastAsia" w:eastAsiaTheme="minorEastAsia" w:cstheme="minorEastAsia"/>
          <w:color w:val="auto"/>
          <w:sz w:val="24"/>
          <w:highlight w:val="none"/>
        </w:rPr>
      </w:pPr>
    </w:p>
    <w:p w14:paraId="19BA332B">
      <w:pPr>
        <w:tabs>
          <w:tab w:val="left" w:pos="1701"/>
        </w:tabs>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四川泸州川南发电有限责任公司2×600MW机组</w:t>
      </w:r>
    </w:p>
    <w:p w14:paraId="1C6BEB7F">
      <w:pPr>
        <w:jc w:val="center"/>
        <w:rPr>
          <w:rFonts w:hint="eastAsia" w:asciiTheme="minorEastAsia" w:hAnsiTheme="minorEastAsia" w:eastAsiaTheme="minorEastAsia" w:cstheme="minorEastAsia"/>
          <w:color w:val="auto"/>
          <w:sz w:val="36"/>
          <w:szCs w:val="36"/>
          <w:highlight w:val="none"/>
        </w:rPr>
      </w:pPr>
    </w:p>
    <w:p w14:paraId="1D6C76D3">
      <w:pPr>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202</w:t>
      </w:r>
      <w:r>
        <w:rPr>
          <w:rFonts w:hint="eastAsia" w:asciiTheme="minorEastAsia" w:hAnsiTheme="minorEastAsia" w:eastAsiaTheme="minorEastAsia" w:cstheme="minorEastAsia"/>
          <w:color w:val="auto"/>
          <w:sz w:val="52"/>
          <w:szCs w:val="52"/>
          <w:highlight w:val="none"/>
          <w:lang w:val="en-US" w:eastAsia="zh-CN"/>
        </w:rPr>
        <w:t>6</w:t>
      </w:r>
      <w:r>
        <w:rPr>
          <w:rFonts w:hint="eastAsia" w:asciiTheme="minorEastAsia" w:hAnsiTheme="minorEastAsia" w:eastAsiaTheme="minorEastAsia" w:cstheme="minorEastAsia"/>
          <w:color w:val="auto"/>
          <w:sz w:val="52"/>
          <w:szCs w:val="52"/>
          <w:highlight w:val="none"/>
        </w:rPr>
        <w:t>年</w:t>
      </w:r>
      <w:r>
        <w:rPr>
          <w:rFonts w:hint="eastAsia" w:asciiTheme="minorEastAsia" w:hAnsiTheme="minorEastAsia" w:eastAsiaTheme="minorEastAsia" w:cstheme="minorEastAsia"/>
          <w:color w:val="auto"/>
          <w:sz w:val="52"/>
          <w:szCs w:val="52"/>
          <w:highlight w:val="none"/>
          <w:lang w:val="en-US" w:eastAsia="zh-CN"/>
        </w:rPr>
        <w:t>电力调度数据网及</w:t>
      </w:r>
      <w:r>
        <w:rPr>
          <w:rFonts w:hint="eastAsia" w:asciiTheme="minorEastAsia" w:hAnsiTheme="minorEastAsia" w:eastAsiaTheme="minorEastAsia" w:cstheme="minorEastAsia"/>
          <w:color w:val="auto"/>
          <w:sz w:val="52"/>
          <w:szCs w:val="52"/>
          <w:highlight w:val="none"/>
        </w:rPr>
        <w:t>DCS网络安全等级保护测评</w:t>
      </w:r>
    </w:p>
    <w:p w14:paraId="0D8326B0">
      <w:pPr>
        <w:rPr>
          <w:rFonts w:hint="eastAsia" w:asciiTheme="minorEastAsia" w:hAnsiTheme="minorEastAsia" w:eastAsiaTheme="minorEastAsia" w:cstheme="minorEastAsia"/>
          <w:color w:val="auto"/>
          <w:sz w:val="52"/>
          <w:szCs w:val="52"/>
          <w:highlight w:val="none"/>
        </w:rPr>
      </w:pPr>
    </w:p>
    <w:p w14:paraId="0168CF84">
      <w:pPr>
        <w:jc w:val="center"/>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技术规范书</w:t>
      </w:r>
    </w:p>
    <w:p w14:paraId="7123DEE1">
      <w:pPr>
        <w:jc w:val="center"/>
        <w:rPr>
          <w:rFonts w:hint="eastAsia" w:asciiTheme="minorEastAsia" w:hAnsiTheme="minorEastAsia" w:eastAsiaTheme="minorEastAsia" w:cstheme="minorEastAsia"/>
          <w:color w:val="auto"/>
          <w:sz w:val="24"/>
          <w:highlight w:val="none"/>
        </w:rPr>
      </w:pPr>
    </w:p>
    <w:p w14:paraId="0B09885D">
      <w:pPr>
        <w:jc w:val="center"/>
        <w:rPr>
          <w:rFonts w:hint="eastAsia" w:asciiTheme="minorEastAsia" w:hAnsiTheme="minorEastAsia" w:eastAsiaTheme="minorEastAsia" w:cstheme="minorEastAsia"/>
          <w:color w:val="auto"/>
          <w:sz w:val="24"/>
          <w:highlight w:val="none"/>
        </w:rPr>
      </w:pPr>
    </w:p>
    <w:p w14:paraId="54192E45">
      <w:pPr>
        <w:jc w:val="center"/>
        <w:rPr>
          <w:rFonts w:hint="eastAsia" w:asciiTheme="minorEastAsia" w:hAnsiTheme="minorEastAsia" w:eastAsiaTheme="minorEastAsia" w:cstheme="minorEastAsia"/>
          <w:color w:val="auto"/>
          <w:sz w:val="24"/>
          <w:highlight w:val="none"/>
        </w:rPr>
      </w:pPr>
    </w:p>
    <w:p w14:paraId="312DDE4B">
      <w:pPr>
        <w:jc w:val="center"/>
        <w:rPr>
          <w:rFonts w:hint="eastAsia" w:asciiTheme="minorEastAsia" w:hAnsiTheme="minorEastAsia" w:eastAsiaTheme="minorEastAsia" w:cstheme="minorEastAsia"/>
          <w:color w:val="auto"/>
          <w:sz w:val="24"/>
          <w:highlight w:val="none"/>
        </w:rPr>
      </w:pPr>
    </w:p>
    <w:p w14:paraId="61F48A60">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B1AC7C8">
      <w:pPr>
        <w:jc w:val="center"/>
        <w:rPr>
          <w:rFonts w:hint="eastAsia" w:asciiTheme="minorEastAsia" w:hAnsiTheme="minorEastAsia" w:eastAsiaTheme="minorEastAsia" w:cstheme="minorEastAsia"/>
          <w:color w:val="auto"/>
          <w:sz w:val="24"/>
          <w:highlight w:val="none"/>
        </w:rPr>
      </w:pPr>
    </w:p>
    <w:p w14:paraId="3BE21A26">
      <w:pPr>
        <w:jc w:val="center"/>
        <w:rPr>
          <w:rFonts w:hint="eastAsia" w:asciiTheme="minorEastAsia" w:hAnsiTheme="minorEastAsia" w:eastAsiaTheme="minorEastAsia" w:cstheme="minorEastAsia"/>
          <w:color w:val="auto"/>
          <w:sz w:val="24"/>
          <w:highlight w:val="none"/>
        </w:rPr>
      </w:pPr>
    </w:p>
    <w:p w14:paraId="1DFB3181">
      <w:pPr>
        <w:jc w:val="center"/>
        <w:rPr>
          <w:rFonts w:hint="eastAsia" w:asciiTheme="minorEastAsia" w:hAnsiTheme="minorEastAsia" w:eastAsiaTheme="minorEastAsia" w:cstheme="minorEastAsia"/>
          <w:color w:val="auto"/>
          <w:sz w:val="24"/>
          <w:highlight w:val="none"/>
        </w:rPr>
      </w:pPr>
    </w:p>
    <w:p w14:paraId="5B2C46F6">
      <w:pPr>
        <w:jc w:val="center"/>
        <w:rPr>
          <w:rFonts w:hint="eastAsia" w:asciiTheme="minorEastAsia" w:hAnsiTheme="minorEastAsia" w:eastAsiaTheme="minorEastAsia" w:cstheme="minorEastAsia"/>
          <w:color w:val="auto"/>
          <w:sz w:val="24"/>
          <w:highlight w:val="none"/>
        </w:rPr>
      </w:pPr>
    </w:p>
    <w:p w14:paraId="28129311">
      <w:pPr>
        <w:jc w:val="center"/>
        <w:rPr>
          <w:rFonts w:hint="eastAsia" w:asciiTheme="minorEastAsia" w:hAnsiTheme="minorEastAsia" w:eastAsiaTheme="minorEastAsia" w:cstheme="minorEastAsia"/>
          <w:color w:val="auto"/>
          <w:sz w:val="24"/>
          <w:highlight w:val="none"/>
        </w:rPr>
      </w:pPr>
    </w:p>
    <w:p w14:paraId="64BADEAA">
      <w:pPr>
        <w:jc w:val="center"/>
        <w:rPr>
          <w:rFonts w:hint="eastAsia" w:asciiTheme="minorEastAsia" w:hAnsiTheme="minorEastAsia" w:eastAsiaTheme="minorEastAsia" w:cstheme="minorEastAsia"/>
          <w:color w:val="auto"/>
          <w:sz w:val="24"/>
          <w:highlight w:val="none"/>
        </w:rPr>
      </w:pPr>
    </w:p>
    <w:p w14:paraId="2FD82D10">
      <w:pPr>
        <w:jc w:val="center"/>
        <w:rPr>
          <w:rFonts w:hint="eastAsia" w:asciiTheme="minorEastAsia" w:hAnsiTheme="minorEastAsia" w:eastAsiaTheme="minorEastAsia" w:cstheme="minorEastAsia"/>
          <w:color w:val="auto"/>
          <w:sz w:val="24"/>
          <w:highlight w:val="none"/>
        </w:rPr>
      </w:pPr>
    </w:p>
    <w:p w14:paraId="6B818B05">
      <w:pPr>
        <w:jc w:val="center"/>
        <w:rPr>
          <w:rFonts w:hint="eastAsia" w:asciiTheme="minorEastAsia" w:hAnsiTheme="minorEastAsia" w:eastAsiaTheme="minorEastAsia" w:cstheme="minorEastAsia"/>
          <w:color w:val="auto"/>
          <w:sz w:val="24"/>
          <w:highlight w:val="none"/>
        </w:rPr>
      </w:pPr>
    </w:p>
    <w:p w14:paraId="75B7FB15">
      <w:pPr>
        <w:jc w:val="center"/>
        <w:rPr>
          <w:rFonts w:hint="eastAsia" w:asciiTheme="minorEastAsia" w:hAnsiTheme="minorEastAsia" w:eastAsiaTheme="minorEastAsia" w:cstheme="minorEastAsia"/>
          <w:color w:val="auto"/>
          <w:sz w:val="24"/>
          <w:highlight w:val="none"/>
        </w:rPr>
      </w:pPr>
    </w:p>
    <w:p w14:paraId="7D99A59F">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0"/>
          <w:szCs w:val="30"/>
          <w:highlight w:val="none"/>
        </w:rPr>
        <w:t>四川泸州川南发电有限责任公司</w:t>
      </w:r>
    </w:p>
    <w:p w14:paraId="160AEF8D">
      <w:pPr>
        <w:jc w:val="center"/>
        <w:rPr>
          <w:rFonts w:hint="eastAsia" w:asciiTheme="minorEastAsia" w:hAnsiTheme="minorEastAsia" w:eastAsiaTheme="minorEastAsia" w:cstheme="minorEastAsia"/>
          <w:color w:val="auto"/>
          <w:sz w:val="24"/>
          <w:highlight w:val="none"/>
        </w:rPr>
        <w:sectPr>
          <w:headerReference r:id="rId4" w:type="first"/>
          <w:headerReference r:id="rId3" w:type="default"/>
          <w:footerReference r:id="rId5" w:type="default"/>
          <w:footerReference r:id="rId6" w:type="even"/>
          <w:pgSz w:w="11906" w:h="16838"/>
          <w:pgMar w:top="1418" w:right="1678" w:bottom="1418" w:left="1298" w:header="851" w:footer="992" w:gutter="0"/>
          <w:pgNumType w:start="0"/>
          <w:cols w:space="720" w:num="1"/>
          <w:titlePg/>
          <w:docGrid w:type="linesAndChars" w:linePitch="312" w:charSpace="0"/>
        </w:sectPr>
      </w:pPr>
      <w:r>
        <w:rPr>
          <w:rFonts w:hint="eastAsia" w:asciiTheme="minorEastAsia" w:hAnsiTheme="minorEastAsia" w:eastAsiaTheme="minorEastAsia" w:cstheme="minorEastAsia"/>
          <w:b/>
          <w:color w:val="auto"/>
          <w:sz w:val="30"/>
          <w:szCs w:val="30"/>
          <w:highlight w:val="none"/>
        </w:rPr>
        <w:t>二〇二</w:t>
      </w:r>
      <w:r>
        <w:rPr>
          <w:rFonts w:hint="eastAsia" w:asciiTheme="minorEastAsia" w:hAnsiTheme="minorEastAsia" w:eastAsiaTheme="minorEastAsia" w:cstheme="minorEastAsia"/>
          <w:b/>
          <w:color w:val="auto"/>
          <w:sz w:val="30"/>
          <w:szCs w:val="30"/>
          <w:highlight w:val="none"/>
          <w:lang w:val="en-US" w:eastAsia="zh-CN"/>
        </w:rPr>
        <w:t>六</w:t>
      </w:r>
      <w:r>
        <w:rPr>
          <w:rFonts w:hint="eastAsia" w:asciiTheme="minorEastAsia" w:hAnsiTheme="minorEastAsia" w:eastAsiaTheme="minorEastAsia" w:cstheme="minorEastAsia"/>
          <w:b/>
          <w:color w:val="auto"/>
          <w:sz w:val="30"/>
          <w:szCs w:val="30"/>
          <w:highlight w:val="none"/>
        </w:rPr>
        <w:t>年</w:t>
      </w:r>
      <w:r>
        <w:rPr>
          <w:rFonts w:hint="eastAsia" w:asciiTheme="minorEastAsia" w:hAnsiTheme="minorEastAsia" w:eastAsiaTheme="minorEastAsia" w:cstheme="minorEastAsia"/>
          <w:b/>
          <w:color w:val="auto"/>
          <w:sz w:val="30"/>
          <w:szCs w:val="30"/>
          <w:highlight w:val="none"/>
          <w:lang w:val="en-US" w:eastAsia="zh-CN"/>
        </w:rPr>
        <w:t>一</w:t>
      </w:r>
      <w:r>
        <w:rPr>
          <w:rFonts w:hint="eastAsia" w:asciiTheme="minorEastAsia" w:hAnsiTheme="minorEastAsia" w:eastAsiaTheme="minorEastAsia" w:cstheme="minorEastAsia"/>
          <w:b/>
          <w:color w:val="auto"/>
          <w:sz w:val="30"/>
          <w:szCs w:val="30"/>
          <w:highlight w:val="none"/>
        </w:rPr>
        <w:t>月  四川·泸州</w:t>
      </w:r>
    </w:p>
    <w:p w14:paraId="2019B8E7">
      <w:pPr>
        <w:rPr>
          <w:rFonts w:hint="eastAsia" w:asciiTheme="minorEastAsia" w:hAnsiTheme="minorEastAsia" w:eastAsiaTheme="minorEastAsia" w:cstheme="minorEastAsia"/>
          <w:b/>
          <w:bCs/>
          <w:color w:val="auto"/>
          <w:sz w:val="32"/>
          <w:szCs w:val="32"/>
          <w:highlight w:val="none"/>
        </w:rPr>
      </w:pPr>
    </w:p>
    <w:p w14:paraId="0287913E">
      <w:pPr>
        <w:rPr>
          <w:rFonts w:hint="eastAsia" w:asciiTheme="minorEastAsia" w:hAnsiTheme="minorEastAsia" w:eastAsiaTheme="minorEastAsia" w:cstheme="minorEastAsia"/>
          <w:color w:val="auto"/>
          <w:highlight w:val="none"/>
        </w:rPr>
      </w:pPr>
    </w:p>
    <w:p w14:paraId="20CA647B">
      <w:pPr>
        <w:pStyle w:val="10"/>
        <w:outlineLvl w:val="9"/>
        <w:rPr>
          <w:rFonts w:hint="eastAsia" w:asciiTheme="minorEastAsia" w:hAnsiTheme="minorEastAsia" w:eastAsiaTheme="minorEastAsia" w:cstheme="minorEastAsia"/>
          <w:snapToGrid/>
          <w:color w:val="auto"/>
          <w:kern w:val="2"/>
          <w:highlight w:val="none"/>
        </w:rPr>
      </w:pPr>
    </w:p>
    <w:sdt>
      <w:sdtPr>
        <w:rPr>
          <w:rFonts w:ascii="宋体" w:hAnsi="宋体" w:eastAsia="仿宋_GB2312"/>
          <w:b/>
          <w:snapToGrid w:val="0"/>
          <w:color w:val="auto"/>
          <w:kern w:val="0"/>
          <w:sz w:val="28"/>
          <w:szCs w:val="28"/>
          <w:highlight w:val="none"/>
        </w:rPr>
        <w:id w:val="147461238"/>
        <w15:color w:val="DBDBDB"/>
        <w:docPartObj>
          <w:docPartGallery w:val="Table of Contents"/>
          <w:docPartUnique/>
        </w:docPartObj>
      </w:sdtPr>
      <w:sdtEndPr>
        <w:rPr>
          <w:rFonts w:hint="eastAsia" w:asciiTheme="minorEastAsia" w:hAnsiTheme="minorEastAsia" w:eastAsiaTheme="minorEastAsia" w:cstheme="minorEastAsia"/>
          <w:b/>
          <w:snapToGrid/>
          <w:color w:val="auto"/>
          <w:kern w:val="0"/>
          <w:sz w:val="28"/>
          <w:szCs w:val="28"/>
          <w:highlight w:val="none"/>
        </w:rPr>
      </w:sdtEndPr>
      <w:sdtContent>
        <w:p w14:paraId="4F6848A6">
          <w:pPr>
            <w:jc w:val="center"/>
            <w:rPr>
              <w:color w:val="auto"/>
              <w:highlight w:val="none"/>
            </w:rPr>
          </w:pPr>
          <w:r>
            <w:rPr>
              <w:rFonts w:ascii="宋体" w:hAnsi="宋体"/>
              <w:color w:val="auto"/>
              <w:highlight w:val="none"/>
            </w:rPr>
            <w:t>目录</w:t>
          </w:r>
        </w:p>
        <w:p w14:paraId="1BBD1B5F">
          <w:pPr>
            <w:pStyle w:val="9"/>
            <w:tabs>
              <w:tab w:val="right" w:leader="dot" w:pos="8930"/>
            </w:tabs>
            <w:rPr>
              <w:color w:val="auto"/>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"1-1"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_Toc20238 </w:instrText>
          </w:r>
          <w:r>
            <w:rPr>
              <w:rFonts w:hint="eastAsia" w:asciiTheme="minorEastAsia" w:hAnsiTheme="minorEastAsia" w:eastAsiaTheme="minorEastAsia" w:cstheme="minorEastAsia"/>
              <w:color w:val="auto"/>
              <w:highlight w:val="none"/>
            </w:rPr>
            <w:fldChar w:fldCharType="separate"/>
          </w:r>
          <w:r>
            <w:rPr>
              <w:rFonts w:hint="default"/>
              <w:color w:val="auto"/>
              <w:szCs w:val="24"/>
            </w:rPr>
            <w:t xml:space="preserve">1． </w:t>
          </w:r>
          <w:r>
            <w:rPr>
              <w:rFonts w:hint="eastAsia"/>
              <w:color w:val="auto"/>
              <w:szCs w:val="24"/>
              <w:highlight w:val="none"/>
            </w:rPr>
            <w:t>总则</w:t>
          </w:r>
          <w:r>
            <w:rPr>
              <w:color w:val="auto"/>
            </w:rPr>
            <w:tab/>
          </w:r>
          <w:r>
            <w:rPr>
              <w:color w:val="auto"/>
            </w:rPr>
            <w:fldChar w:fldCharType="begin"/>
          </w:r>
          <w:r>
            <w:rPr>
              <w:color w:val="auto"/>
            </w:rPr>
            <w:instrText xml:space="preserve"> PAGEREF _Toc20238 \h </w:instrText>
          </w:r>
          <w:r>
            <w:rPr>
              <w:color w:val="auto"/>
            </w:rPr>
            <w:fldChar w:fldCharType="separate"/>
          </w:r>
          <w:r>
            <w:rPr>
              <w:color w:val="auto"/>
            </w:rPr>
            <w:t>1</w:t>
          </w:r>
          <w:r>
            <w:rPr>
              <w:color w:val="auto"/>
            </w:rPr>
            <w:fldChar w:fldCharType="end"/>
          </w:r>
          <w:r>
            <w:rPr>
              <w:rFonts w:hint="eastAsia" w:asciiTheme="minorEastAsia" w:hAnsiTheme="minorEastAsia" w:eastAsiaTheme="minorEastAsia" w:cstheme="minorEastAsia"/>
              <w:color w:val="auto"/>
              <w:highlight w:val="none"/>
            </w:rPr>
            <w:fldChar w:fldCharType="end"/>
          </w:r>
        </w:p>
        <w:p w14:paraId="7EBAAD0C">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_Toc12749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2． </w:t>
          </w:r>
          <w:r>
            <w:rPr>
              <w:rFonts w:hint="eastAsia"/>
              <w:color w:val="auto"/>
              <w:szCs w:val="24"/>
              <w:highlight w:val="none"/>
            </w:rPr>
            <w:t>工程概况</w:t>
          </w:r>
          <w:r>
            <w:rPr>
              <w:color w:val="auto"/>
            </w:rPr>
            <w:tab/>
          </w:r>
          <w:r>
            <w:rPr>
              <w:color w:val="auto"/>
            </w:rPr>
            <w:fldChar w:fldCharType="begin"/>
          </w:r>
          <w:r>
            <w:rPr>
              <w:color w:val="auto"/>
            </w:rPr>
            <w:instrText xml:space="preserve"> PAGEREF _Toc12749 \h </w:instrText>
          </w:r>
          <w:r>
            <w:rPr>
              <w:color w:val="auto"/>
            </w:rPr>
            <w:fldChar w:fldCharType="separate"/>
          </w:r>
          <w:r>
            <w:rPr>
              <w:color w:val="auto"/>
            </w:rPr>
            <w:t>1</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03DDDE35">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_Toc5174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3． </w:t>
          </w:r>
          <w:r>
            <w:rPr>
              <w:rFonts w:hint="eastAsia"/>
              <w:color w:val="auto"/>
              <w:szCs w:val="24"/>
              <w:highlight w:val="none"/>
            </w:rPr>
            <w:t>标准规范及原则</w:t>
          </w:r>
          <w:r>
            <w:rPr>
              <w:color w:val="auto"/>
            </w:rPr>
            <w:tab/>
          </w:r>
          <w:r>
            <w:rPr>
              <w:color w:val="auto"/>
            </w:rPr>
            <w:fldChar w:fldCharType="begin"/>
          </w:r>
          <w:r>
            <w:rPr>
              <w:color w:val="auto"/>
            </w:rPr>
            <w:instrText xml:space="preserve"> PAGEREF _Toc5174 \h </w:instrText>
          </w:r>
          <w:r>
            <w:rPr>
              <w:color w:val="auto"/>
            </w:rPr>
            <w:fldChar w:fldCharType="separate"/>
          </w:r>
          <w:r>
            <w:rPr>
              <w:color w:val="auto"/>
            </w:rPr>
            <w:t>2</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63E2EA38">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_Toc6460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4． </w:t>
          </w:r>
          <w:r>
            <w:rPr>
              <w:rFonts w:hint="eastAsia"/>
              <w:color w:val="auto"/>
              <w:szCs w:val="24"/>
              <w:highlight w:val="none"/>
            </w:rPr>
            <w:t>测评及服务内容</w:t>
          </w:r>
          <w:r>
            <w:rPr>
              <w:color w:val="auto"/>
            </w:rPr>
            <w:tab/>
          </w:r>
          <w:r>
            <w:rPr>
              <w:color w:val="auto"/>
            </w:rPr>
            <w:fldChar w:fldCharType="begin"/>
          </w:r>
          <w:r>
            <w:rPr>
              <w:color w:val="auto"/>
            </w:rPr>
            <w:instrText xml:space="preserve"> PAGEREF _Toc6460 \h </w:instrText>
          </w:r>
          <w:r>
            <w:rPr>
              <w:color w:val="auto"/>
            </w:rPr>
            <w:fldChar w:fldCharType="separate"/>
          </w:r>
          <w:r>
            <w:rPr>
              <w:color w:val="auto"/>
            </w:rPr>
            <w:t>3</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4CC10701">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_Toc24792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5． </w:t>
          </w:r>
          <w:r>
            <w:rPr>
              <w:rFonts w:hint="eastAsia"/>
              <w:color w:val="auto"/>
              <w:szCs w:val="24"/>
              <w:highlight w:val="none"/>
            </w:rPr>
            <w:t>技术要求</w:t>
          </w:r>
          <w:r>
            <w:rPr>
              <w:color w:val="auto"/>
            </w:rPr>
            <w:tab/>
          </w:r>
          <w:r>
            <w:rPr>
              <w:color w:val="auto"/>
            </w:rPr>
            <w:fldChar w:fldCharType="begin"/>
          </w:r>
          <w:r>
            <w:rPr>
              <w:color w:val="auto"/>
            </w:rPr>
            <w:instrText xml:space="preserve"> PAGEREF _Toc24792 \h </w:instrText>
          </w:r>
          <w:r>
            <w:rPr>
              <w:color w:val="auto"/>
            </w:rPr>
            <w:fldChar w:fldCharType="separate"/>
          </w:r>
          <w:r>
            <w:rPr>
              <w:color w:val="auto"/>
            </w:rPr>
            <w:t>4</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240707D9">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_Toc13222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6． </w:t>
          </w:r>
          <w:r>
            <w:rPr>
              <w:rFonts w:hint="eastAsia"/>
              <w:color w:val="auto"/>
              <w:szCs w:val="24"/>
              <w:highlight w:val="none"/>
            </w:rPr>
            <w:t>服务时间</w:t>
          </w:r>
          <w:r>
            <w:rPr>
              <w:color w:val="auto"/>
            </w:rPr>
            <w:tab/>
          </w:r>
          <w:r>
            <w:rPr>
              <w:color w:val="auto"/>
            </w:rPr>
            <w:fldChar w:fldCharType="begin"/>
          </w:r>
          <w:r>
            <w:rPr>
              <w:color w:val="auto"/>
            </w:rPr>
            <w:instrText xml:space="preserve"> PAGEREF _Toc13222 \h </w:instrText>
          </w:r>
          <w:r>
            <w:rPr>
              <w:color w:val="auto"/>
            </w:rPr>
            <w:fldChar w:fldCharType="separate"/>
          </w:r>
          <w:r>
            <w:rPr>
              <w:color w:val="auto"/>
            </w:rPr>
            <w:t>6</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3F32F860">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_Toc30025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7． </w:t>
          </w:r>
          <w:r>
            <w:rPr>
              <w:rFonts w:hint="eastAsia"/>
              <w:color w:val="auto"/>
              <w:szCs w:val="24"/>
              <w:highlight w:val="none"/>
            </w:rPr>
            <w:t>项目验收</w:t>
          </w:r>
          <w:r>
            <w:rPr>
              <w:color w:val="auto"/>
            </w:rPr>
            <w:tab/>
          </w:r>
          <w:r>
            <w:rPr>
              <w:color w:val="auto"/>
            </w:rPr>
            <w:fldChar w:fldCharType="begin"/>
          </w:r>
          <w:r>
            <w:rPr>
              <w:color w:val="auto"/>
            </w:rPr>
            <w:instrText xml:space="preserve"> PAGEREF _Toc30025 \h </w:instrText>
          </w:r>
          <w:r>
            <w:rPr>
              <w:color w:val="auto"/>
            </w:rPr>
            <w:fldChar w:fldCharType="separate"/>
          </w:r>
          <w:r>
            <w:rPr>
              <w:color w:val="auto"/>
            </w:rPr>
            <w:t>6</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00D30110">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_Toc7530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8． </w:t>
          </w:r>
          <w:r>
            <w:rPr>
              <w:rFonts w:hint="eastAsia"/>
              <w:color w:val="auto"/>
              <w:szCs w:val="24"/>
              <w:highlight w:val="none"/>
            </w:rPr>
            <w:t>双方责任</w:t>
          </w:r>
          <w:r>
            <w:rPr>
              <w:color w:val="auto"/>
            </w:rPr>
            <w:tab/>
          </w:r>
          <w:r>
            <w:rPr>
              <w:color w:val="auto"/>
            </w:rPr>
            <w:fldChar w:fldCharType="begin"/>
          </w:r>
          <w:r>
            <w:rPr>
              <w:color w:val="auto"/>
            </w:rPr>
            <w:instrText xml:space="preserve"> PAGEREF _Toc7530 \h </w:instrText>
          </w:r>
          <w:r>
            <w:rPr>
              <w:color w:val="auto"/>
            </w:rPr>
            <w:fldChar w:fldCharType="separate"/>
          </w:r>
          <w:r>
            <w:rPr>
              <w:color w:val="auto"/>
            </w:rPr>
            <w:t>7</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3ABE59CE">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_Toc19548 </w:instrText>
          </w:r>
          <w:r>
            <w:rPr>
              <w:rFonts w:hint="eastAsia" w:asciiTheme="minorEastAsia" w:hAnsiTheme="minorEastAsia" w:eastAsiaTheme="minorEastAsia" w:cstheme="minorEastAsia"/>
              <w:snapToGrid/>
              <w:color w:val="auto"/>
              <w:kern w:val="2"/>
              <w:highlight w:val="none"/>
            </w:rPr>
            <w:fldChar w:fldCharType="separate"/>
          </w:r>
          <w:r>
            <w:rPr>
              <w:rFonts w:hint="default"/>
              <w:color w:val="auto"/>
              <w:szCs w:val="24"/>
            </w:rPr>
            <w:t xml:space="preserve">9． </w:t>
          </w:r>
          <w:r>
            <w:rPr>
              <w:rFonts w:hint="eastAsia"/>
              <w:color w:val="auto"/>
              <w:szCs w:val="24"/>
              <w:highlight w:val="none"/>
            </w:rPr>
            <w:t>考核细则</w:t>
          </w:r>
          <w:r>
            <w:rPr>
              <w:color w:val="auto"/>
            </w:rPr>
            <w:tab/>
          </w:r>
          <w:r>
            <w:rPr>
              <w:color w:val="auto"/>
            </w:rPr>
            <w:fldChar w:fldCharType="begin"/>
          </w:r>
          <w:r>
            <w:rPr>
              <w:color w:val="auto"/>
            </w:rPr>
            <w:instrText xml:space="preserve"> PAGEREF _Toc19548 \h </w:instrText>
          </w:r>
          <w:r>
            <w:rPr>
              <w:color w:val="auto"/>
            </w:rPr>
            <w:fldChar w:fldCharType="separate"/>
          </w:r>
          <w:r>
            <w:rPr>
              <w:color w:val="auto"/>
            </w:rPr>
            <w:t>7</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4D013439">
          <w:pPr>
            <w:pStyle w:val="9"/>
            <w:tabs>
              <w:tab w:val="right" w:leader="dot" w:pos="8930"/>
            </w:tabs>
            <w:rPr>
              <w:color w:val="auto"/>
            </w:rPr>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color w:val="auto"/>
              <w:kern w:val="2"/>
              <w:highlight w:val="none"/>
            </w:rPr>
            <w:instrText xml:space="preserve"> HYPERLINK \l _Toc15926 </w:instrText>
          </w:r>
          <w:r>
            <w:rPr>
              <w:rFonts w:hint="eastAsia" w:asciiTheme="minorEastAsia" w:hAnsiTheme="minorEastAsia" w:eastAsiaTheme="minorEastAsia" w:cstheme="minorEastAsia"/>
              <w:snapToGrid/>
              <w:color w:val="auto"/>
              <w:kern w:val="2"/>
              <w:highlight w:val="none"/>
            </w:rPr>
            <w:fldChar w:fldCharType="separate"/>
          </w:r>
          <w:r>
            <w:rPr>
              <w:rFonts w:hint="eastAsia"/>
              <w:color w:val="auto"/>
              <w:kern w:val="2"/>
              <w:szCs w:val="28"/>
              <w:highlight w:val="none"/>
              <w:lang w:val="zh-CN"/>
            </w:rPr>
            <w:t>附件</w:t>
          </w:r>
          <w:r>
            <w:rPr>
              <w:rFonts w:hint="eastAsia"/>
              <w:color w:val="auto"/>
              <w:kern w:val="2"/>
              <w:szCs w:val="28"/>
              <w:highlight w:val="none"/>
            </w:rPr>
            <w:t>一</w:t>
          </w:r>
          <w:r>
            <w:rPr>
              <w:rFonts w:hint="eastAsia"/>
              <w:color w:val="auto"/>
              <w:kern w:val="2"/>
              <w:szCs w:val="28"/>
              <w:highlight w:val="none"/>
              <w:lang w:val="zh-CN"/>
            </w:rPr>
            <w:t xml:space="preserve"> 、差异表（</w:t>
          </w:r>
          <w:r>
            <w:rPr>
              <w:rFonts w:hint="eastAsia"/>
              <w:bCs w:val="0"/>
              <w:color w:val="auto"/>
              <w:kern w:val="2"/>
              <w:szCs w:val="24"/>
              <w:highlight w:val="none"/>
              <w:lang w:val="zh-CN"/>
            </w:rPr>
            <w:t>响应人填写</w:t>
          </w:r>
          <w:r>
            <w:rPr>
              <w:rFonts w:hint="eastAsia"/>
              <w:color w:val="auto"/>
              <w:kern w:val="2"/>
              <w:szCs w:val="28"/>
              <w:highlight w:val="none"/>
              <w:lang w:val="zh-CN"/>
            </w:rPr>
            <w:t>）</w:t>
          </w:r>
          <w:r>
            <w:rPr>
              <w:color w:val="auto"/>
            </w:rPr>
            <w:tab/>
          </w:r>
          <w:r>
            <w:rPr>
              <w:color w:val="auto"/>
            </w:rPr>
            <w:fldChar w:fldCharType="begin"/>
          </w:r>
          <w:r>
            <w:rPr>
              <w:color w:val="auto"/>
            </w:rPr>
            <w:instrText xml:space="preserve"> PAGEREF _Toc15926 \h </w:instrText>
          </w:r>
          <w:r>
            <w:rPr>
              <w:color w:val="auto"/>
            </w:rPr>
            <w:fldChar w:fldCharType="separate"/>
          </w:r>
          <w:r>
            <w:rPr>
              <w:color w:val="auto"/>
            </w:rPr>
            <w:t>8</w:t>
          </w:r>
          <w:r>
            <w:rPr>
              <w:color w:val="auto"/>
            </w:rPr>
            <w:fldChar w:fldCharType="end"/>
          </w:r>
          <w:r>
            <w:rPr>
              <w:rFonts w:hint="eastAsia" w:asciiTheme="minorEastAsia" w:hAnsiTheme="minorEastAsia" w:eastAsiaTheme="minorEastAsia" w:cstheme="minorEastAsia"/>
              <w:snapToGrid/>
              <w:color w:val="auto"/>
              <w:kern w:val="2"/>
              <w:highlight w:val="none"/>
            </w:rPr>
            <w:fldChar w:fldCharType="end"/>
          </w:r>
        </w:p>
        <w:p w14:paraId="51F38171">
          <w:pPr>
            <w:pStyle w:val="10"/>
            <w:outlineLvl w:val="9"/>
            <w:rPr>
              <w:rFonts w:hint="eastAsia" w:asciiTheme="minorEastAsia" w:hAnsiTheme="minorEastAsia" w:eastAsiaTheme="minorEastAsia" w:cstheme="minorEastAsia"/>
              <w:snapToGrid/>
              <w:color w:val="auto"/>
              <w:kern w:val="2"/>
              <w:highlight w:val="none"/>
            </w:rPr>
          </w:pPr>
          <w:r>
            <w:rPr>
              <w:rFonts w:hint="eastAsia" w:asciiTheme="minorEastAsia" w:hAnsiTheme="minorEastAsia" w:eastAsiaTheme="minorEastAsia" w:cstheme="minorEastAsia"/>
              <w:snapToGrid/>
              <w:color w:val="auto"/>
              <w:kern w:val="2"/>
              <w:highlight w:val="none"/>
            </w:rPr>
            <w:fldChar w:fldCharType="end"/>
          </w:r>
        </w:p>
      </w:sdtContent>
    </w:sdt>
    <w:p w14:paraId="590C8582">
      <w:pPr>
        <w:pStyle w:val="10"/>
        <w:outlineLvl w:val="9"/>
        <w:rPr>
          <w:rFonts w:hint="eastAsia" w:asciiTheme="minorEastAsia" w:hAnsiTheme="minorEastAsia" w:eastAsiaTheme="minorEastAsia" w:cstheme="minorEastAsia"/>
          <w:snapToGrid/>
          <w:color w:val="auto"/>
          <w:kern w:val="2"/>
          <w:highlight w:val="none"/>
        </w:rPr>
      </w:pPr>
    </w:p>
    <w:p w14:paraId="654F871D">
      <w:pPr>
        <w:pStyle w:val="10"/>
        <w:tabs>
          <w:tab w:val="left" w:pos="1260"/>
        </w:tabs>
        <w:outlineLvl w:val="9"/>
        <w:rPr>
          <w:rFonts w:hint="eastAsia" w:asciiTheme="minorEastAsia" w:hAnsiTheme="minorEastAsia" w:eastAsiaTheme="minorEastAsia" w:cstheme="minorEastAsia"/>
          <w:snapToGrid/>
          <w:color w:val="auto"/>
          <w:kern w:val="2"/>
          <w:highlight w:val="none"/>
        </w:rPr>
      </w:pPr>
      <w:r>
        <w:rPr>
          <w:rFonts w:hint="eastAsia" w:asciiTheme="minorEastAsia" w:hAnsiTheme="minorEastAsia" w:eastAsiaTheme="minorEastAsia" w:cstheme="minorEastAsia"/>
          <w:snapToGrid/>
          <w:color w:val="auto"/>
          <w:kern w:val="2"/>
          <w:highlight w:val="none"/>
        </w:rPr>
        <w:tab/>
      </w:r>
    </w:p>
    <w:p w14:paraId="12FF0A47">
      <w:pPr>
        <w:pStyle w:val="10"/>
        <w:outlineLvl w:val="9"/>
        <w:rPr>
          <w:rFonts w:hint="eastAsia" w:asciiTheme="minorEastAsia" w:hAnsiTheme="minorEastAsia" w:eastAsiaTheme="minorEastAsia" w:cstheme="minorEastAsia"/>
          <w:snapToGrid/>
          <w:color w:val="auto"/>
          <w:kern w:val="2"/>
          <w:highlight w:val="none"/>
        </w:rPr>
      </w:pPr>
    </w:p>
    <w:p w14:paraId="1D9B64A8">
      <w:pPr>
        <w:rPr>
          <w:rFonts w:hint="eastAsia" w:asciiTheme="minorEastAsia" w:hAnsiTheme="minorEastAsia" w:eastAsiaTheme="minorEastAsia" w:cstheme="minorEastAsia"/>
          <w:color w:val="auto"/>
          <w:highlight w:val="none"/>
        </w:rPr>
      </w:pPr>
    </w:p>
    <w:p w14:paraId="53868673">
      <w:pPr>
        <w:rPr>
          <w:rFonts w:hint="eastAsia" w:asciiTheme="minorEastAsia" w:hAnsiTheme="minorEastAsia" w:eastAsiaTheme="minorEastAsia" w:cstheme="minorEastAsia"/>
          <w:color w:val="auto"/>
          <w:highlight w:val="none"/>
        </w:rPr>
      </w:pPr>
    </w:p>
    <w:p w14:paraId="23D37D86">
      <w:pPr>
        <w:rPr>
          <w:rFonts w:hint="eastAsia" w:asciiTheme="minorEastAsia" w:hAnsiTheme="minorEastAsia" w:eastAsiaTheme="minorEastAsia" w:cstheme="minorEastAsia"/>
          <w:color w:val="auto"/>
          <w:highlight w:val="none"/>
        </w:rPr>
      </w:pPr>
    </w:p>
    <w:p w14:paraId="6684AB77">
      <w:pPr>
        <w:rPr>
          <w:rFonts w:hint="eastAsia" w:asciiTheme="minorEastAsia" w:hAnsiTheme="minorEastAsia" w:eastAsiaTheme="minorEastAsia" w:cstheme="minorEastAsia"/>
          <w:color w:val="auto"/>
          <w:highlight w:val="none"/>
        </w:rPr>
      </w:pPr>
    </w:p>
    <w:p w14:paraId="411E653E">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7AF907F">
      <w:pPr>
        <w:numPr>
          <w:ilvl w:val="0"/>
          <w:numId w:val="2"/>
        </w:numPr>
        <w:spacing w:before="156" w:beforeLines="50" w:line="360" w:lineRule="auto"/>
        <w:ind w:firstLine="420"/>
        <w:outlineLvl w:val="0"/>
        <w:rPr>
          <w:color w:val="auto"/>
          <w:sz w:val="24"/>
          <w:szCs w:val="24"/>
          <w:highlight w:val="none"/>
        </w:rPr>
      </w:pPr>
      <w:bookmarkStart w:id="0" w:name="_Toc430783710"/>
      <w:bookmarkStart w:id="1" w:name="_Toc459361976"/>
      <w:bookmarkStart w:id="2" w:name="_Toc5549"/>
      <w:bookmarkStart w:id="3" w:name="_Toc6870"/>
      <w:bookmarkStart w:id="4" w:name="_Toc20238"/>
      <w:r>
        <w:rPr>
          <w:rFonts w:hint="eastAsia"/>
          <w:color w:val="auto"/>
          <w:sz w:val="24"/>
          <w:szCs w:val="24"/>
          <w:highlight w:val="none"/>
        </w:rPr>
        <w:t>总则</w:t>
      </w:r>
      <w:bookmarkEnd w:id="0"/>
      <w:bookmarkEnd w:id="1"/>
      <w:bookmarkEnd w:id="2"/>
      <w:bookmarkEnd w:id="3"/>
      <w:bookmarkEnd w:id="4"/>
    </w:p>
    <w:p w14:paraId="151D0B16">
      <w:pPr>
        <w:spacing w:line="360" w:lineRule="auto"/>
        <w:rPr>
          <w:color w:val="auto"/>
          <w:highlight w:val="none"/>
        </w:rPr>
      </w:pPr>
      <w:r>
        <w:rPr>
          <w:rFonts w:hint="eastAsia"/>
          <w:color w:val="auto"/>
          <w:highlight w:val="none"/>
        </w:rPr>
        <w:t>1.1 本技术规范适用于四川泸州川南发电有限责任公司2×600MW机组202</w:t>
      </w:r>
      <w:r>
        <w:rPr>
          <w:rFonts w:hint="eastAsia"/>
          <w:color w:val="auto"/>
          <w:highlight w:val="none"/>
          <w:lang w:val="en-US" w:eastAsia="zh-CN"/>
        </w:rPr>
        <w:t>6</w:t>
      </w:r>
      <w:r>
        <w:rPr>
          <w:rFonts w:hint="eastAsia"/>
          <w:color w:val="auto"/>
          <w:highlight w:val="none"/>
        </w:rPr>
        <w:t>年度</w:t>
      </w:r>
      <w:r>
        <w:rPr>
          <w:rFonts w:hint="eastAsia"/>
          <w:color w:val="auto"/>
          <w:highlight w:val="none"/>
          <w:lang w:val="en-US" w:eastAsia="zh-CN"/>
        </w:rPr>
        <w:t>电力调度数据网及</w:t>
      </w:r>
      <w:r>
        <w:rPr>
          <w:rFonts w:hint="eastAsia"/>
          <w:color w:val="auto"/>
          <w:highlight w:val="none"/>
        </w:rPr>
        <w:t>DCS网络安</w:t>
      </w:r>
      <w:bookmarkStart w:id="54" w:name="_GoBack"/>
      <w:r>
        <w:rPr>
          <w:rFonts w:hint="eastAsia"/>
          <w:color w:val="auto"/>
          <w:highlight w:val="none"/>
        </w:rPr>
        <w:t>全等级保护测评，本规范书提出了本次测评的标准、内容、要求及验收等方面的技术规范。</w:t>
      </w:r>
    </w:p>
    <w:p w14:paraId="41439251">
      <w:pPr>
        <w:spacing w:line="360" w:lineRule="auto"/>
        <w:rPr>
          <w:color w:val="auto"/>
          <w:highlight w:val="none"/>
        </w:rPr>
      </w:pPr>
      <w:bookmarkStart w:id="5" w:name="OLE_LINK1"/>
      <w:r>
        <w:rPr>
          <w:rFonts w:hint="eastAsia"/>
          <w:color w:val="auto"/>
          <w:highlight w:val="none"/>
        </w:rPr>
        <w:t>1.2</w:t>
      </w:r>
      <w:r>
        <w:rPr>
          <w:rFonts w:hint="eastAsia"/>
          <w:color w:val="auto"/>
          <w:highlight w:val="none"/>
          <w:lang w:eastAsia="zh-CN"/>
        </w:rPr>
        <w:t>响应人</w:t>
      </w:r>
      <w:r>
        <w:rPr>
          <w:rFonts w:hint="eastAsia"/>
          <w:color w:val="auto"/>
          <w:highlight w:val="none"/>
        </w:rPr>
        <w:t>必须具备合法的企业资质</w:t>
      </w:r>
      <w:r>
        <w:rPr>
          <w:rFonts w:hint="eastAsia"/>
          <w:color w:val="auto"/>
          <w:highlight w:val="none"/>
        </w:rPr>
        <w:t>，具有《网络安全服务认证</w:t>
      </w:r>
      <w:r>
        <w:rPr>
          <w:rFonts w:hint="eastAsia"/>
          <w:color w:val="auto"/>
          <w:highlight w:val="none"/>
          <w:lang w:val="en-US" w:eastAsia="zh-CN"/>
        </w:rPr>
        <w:t>证书</w:t>
      </w:r>
      <w:r>
        <w:rPr>
          <w:rFonts w:hint="eastAsia"/>
          <w:color w:val="auto"/>
          <w:highlight w:val="none"/>
        </w:rPr>
        <w:t>等级保护测评服务认证证书》，</w:t>
      </w:r>
      <w:r>
        <w:rPr>
          <w:rFonts w:hint="eastAsia" w:hAnsi="宋体" w:cs="宋体"/>
          <w:color w:val="auto"/>
          <w:szCs w:val="21"/>
          <w:highlight w:val="none"/>
        </w:rPr>
        <w:t>具有中国网络安全审查技术与认证中心颁发的信息安全风险评估服务资质证书，</w:t>
      </w:r>
      <w:r>
        <w:rPr>
          <w:rFonts w:hint="eastAsia"/>
          <w:color w:val="auto"/>
          <w:highlight w:val="none"/>
        </w:rPr>
        <w:t>须</w:t>
      </w:r>
      <w:r>
        <w:rPr>
          <w:rFonts w:hint="eastAsia" w:cs="宋体" w:asciiTheme="minorEastAsia" w:hAnsiTheme="minorEastAsia"/>
          <w:color w:val="auto"/>
          <w:szCs w:val="21"/>
          <w:highlight w:val="none"/>
        </w:rPr>
        <w:t>提供相关证明材料</w:t>
      </w:r>
      <w:r>
        <w:rPr>
          <w:rFonts w:hint="eastAsia"/>
          <w:color w:val="auto"/>
          <w:highlight w:val="none"/>
        </w:rPr>
        <w:t>。</w:t>
      </w:r>
      <w:r>
        <w:rPr>
          <w:rFonts w:hint="eastAsia"/>
          <w:color w:val="auto"/>
          <w:highlight w:val="none"/>
        </w:rPr>
        <w:t>至少具有一</w:t>
      </w:r>
      <w:r>
        <w:rPr>
          <w:rFonts w:hint="eastAsia"/>
          <w:color w:val="auto"/>
          <w:highlight w:val="none"/>
          <w:lang w:val="en-US" w:eastAsia="zh-CN"/>
        </w:rPr>
        <w:t>个</w:t>
      </w:r>
      <w:r>
        <w:rPr>
          <w:rFonts w:hint="eastAsia"/>
          <w:color w:val="auto"/>
          <w:highlight w:val="none"/>
        </w:rPr>
        <w:t>发电机组电力监控系统等保测评业绩</w:t>
      </w:r>
      <w:r>
        <w:rPr>
          <w:rFonts w:hint="eastAsia"/>
          <w:color w:val="auto"/>
          <w:highlight w:val="none"/>
        </w:rPr>
        <w:t>，须</w:t>
      </w:r>
      <w:r>
        <w:rPr>
          <w:rFonts w:hint="eastAsia" w:cs="宋体" w:asciiTheme="minorEastAsia" w:hAnsiTheme="minorEastAsia"/>
          <w:color w:val="auto"/>
          <w:szCs w:val="21"/>
          <w:highlight w:val="none"/>
        </w:rPr>
        <w:t>提供相关证明材料。</w:t>
      </w:r>
    </w:p>
    <w:bookmarkEnd w:id="5"/>
    <w:p w14:paraId="559ABB4E">
      <w:pPr>
        <w:spacing w:line="360" w:lineRule="auto"/>
        <w:rPr>
          <w:color w:val="auto"/>
          <w:highlight w:val="none"/>
        </w:rPr>
      </w:pPr>
      <w:r>
        <w:rPr>
          <w:rFonts w:hint="eastAsia"/>
          <w:color w:val="auto"/>
          <w:highlight w:val="none"/>
        </w:rPr>
        <w:t>1.3 本技术规范提出的要求为最低限度要求，并未对一切细节作出详细规定，也未充分引述有关标准和规范的条文，</w:t>
      </w:r>
      <w:r>
        <w:rPr>
          <w:rFonts w:hint="eastAsia"/>
          <w:color w:val="auto"/>
          <w:highlight w:val="none"/>
          <w:lang w:eastAsia="zh-CN"/>
        </w:rPr>
        <w:t>响应人</w:t>
      </w:r>
      <w:r>
        <w:rPr>
          <w:rFonts w:hint="eastAsia"/>
          <w:color w:val="auto"/>
          <w:highlight w:val="none"/>
        </w:rPr>
        <w:t>应提供符合本技术规范和有关标准规程的技术服务，并满足有关强制性标准要求。</w:t>
      </w:r>
    </w:p>
    <w:p w14:paraId="04E47D5B">
      <w:pPr>
        <w:spacing w:line="360" w:lineRule="auto"/>
        <w:rPr>
          <w:color w:val="auto"/>
          <w:highlight w:val="none"/>
        </w:rPr>
      </w:pPr>
      <w:r>
        <w:rPr>
          <w:rFonts w:hint="eastAsia"/>
          <w:color w:val="auto"/>
          <w:highlight w:val="none"/>
        </w:rPr>
        <w:t>1.4</w:t>
      </w:r>
      <w:r>
        <w:rPr>
          <w:rFonts w:hint="eastAsia"/>
          <w:color w:val="auto"/>
          <w:highlight w:val="none"/>
          <w:lang w:eastAsia="zh-CN"/>
        </w:rPr>
        <w:t>响应人</w:t>
      </w:r>
      <w:r>
        <w:rPr>
          <w:rFonts w:hint="eastAsia"/>
          <w:color w:val="auto"/>
          <w:highlight w:val="none"/>
        </w:rPr>
        <w:t>如对本规范书有偏差(</w:t>
      </w:r>
      <w:r>
        <w:rPr>
          <w:rFonts w:hint="eastAsia"/>
          <w:color w:val="auto"/>
          <w:highlight w:val="none"/>
          <w:lang w:eastAsia="zh-CN"/>
        </w:rPr>
        <w:t>仅允许正偏差、</w:t>
      </w:r>
      <w:r>
        <w:rPr>
          <w:rFonts w:hint="eastAsia"/>
          <w:color w:val="auto"/>
          <w:highlight w:val="none"/>
        </w:rPr>
        <w:t>无论多么微小)都必须清楚地表示在本规范书的“差异表”中，否则</w:t>
      </w:r>
      <w:r>
        <w:rPr>
          <w:rFonts w:hint="eastAsia"/>
          <w:color w:val="auto"/>
          <w:highlight w:val="none"/>
          <w:lang w:eastAsia="zh-CN"/>
        </w:rPr>
        <w:t>采购人</w:t>
      </w:r>
      <w:r>
        <w:rPr>
          <w:rFonts w:hint="eastAsia"/>
          <w:color w:val="auto"/>
          <w:highlight w:val="none"/>
        </w:rPr>
        <w:t>将认为</w:t>
      </w:r>
      <w:r>
        <w:rPr>
          <w:rFonts w:hint="eastAsia"/>
          <w:color w:val="auto"/>
          <w:highlight w:val="none"/>
          <w:lang w:eastAsia="zh-CN"/>
        </w:rPr>
        <w:t>响应人</w:t>
      </w:r>
      <w:r>
        <w:rPr>
          <w:rFonts w:hint="eastAsia"/>
          <w:color w:val="auto"/>
          <w:highlight w:val="none"/>
        </w:rPr>
        <w:t>完全接受和同意本规范书的要求。若本技术规范书前后有不一致的地方，</w:t>
      </w:r>
      <w:r>
        <w:rPr>
          <w:rFonts w:hint="eastAsia"/>
          <w:color w:val="auto"/>
          <w:highlight w:val="none"/>
          <w:lang w:eastAsia="zh-CN"/>
        </w:rPr>
        <w:t>响应人</w:t>
      </w:r>
      <w:r>
        <w:rPr>
          <w:rFonts w:hint="eastAsia"/>
          <w:color w:val="auto"/>
          <w:highlight w:val="none"/>
        </w:rPr>
        <w:t>应提前提出澄清，未提出澄清的则以</w:t>
      </w:r>
      <w:r>
        <w:rPr>
          <w:rFonts w:hint="eastAsia"/>
          <w:color w:val="auto"/>
          <w:highlight w:val="none"/>
          <w:lang w:eastAsia="zh-CN"/>
        </w:rPr>
        <w:t>采购人</w:t>
      </w:r>
      <w:r>
        <w:rPr>
          <w:rFonts w:hint="eastAsia"/>
          <w:color w:val="auto"/>
          <w:highlight w:val="none"/>
        </w:rPr>
        <w:t>的解释为准。若本技术规范书书与合同有差异，应按照有利于</w:t>
      </w:r>
      <w:r>
        <w:rPr>
          <w:rFonts w:hint="eastAsia"/>
          <w:color w:val="auto"/>
          <w:highlight w:val="none"/>
          <w:lang w:eastAsia="zh-CN"/>
        </w:rPr>
        <w:t>采购人</w:t>
      </w:r>
      <w:r>
        <w:rPr>
          <w:rFonts w:hint="eastAsia"/>
          <w:color w:val="auto"/>
          <w:highlight w:val="none"/>
        </w:rPr>
        <w:t>的原则处理。</w:t>
      </w:r>
    </w:p>
    <w:p w14:paraId="6A2B1566">
      <w:pPr>
        <w:spacing w:line="360" w:lineRule="auto"/>
        <w:rPr>
          <w:color w:val="auto"/>
          <w:highlight w:val="none"/>
        </w:rPr>
      </w:pPr>
      <w:r>
        <w:rPr>
          <w:rFonts w:hint="eastAsia"/>
          <w:color w:val="auto"/>
          <w:highlight w:val="none"/>
        </w:rPr>
        <w:t>1.5 工程使用国际计量单位（SI）制，招、投标双方均需遵循。工作语言为中文，所有的文件、报告、图纸均用为中文编写。</w:t>
      </w:r>
    </w:p>
    <w:p w14:paraId="12736B0D">
      <w:pPr>
        <w:spacing w:line="360" w:lineRule="auto"/>
        <w:rPr>
          <w:color w:val="auto"/>
          <w:highlight w:val="none"/>
        </w:rPr>
      </w:pPr>
      <w:r>
        <w:rPr>
          <w:rFonts w:hint="eastAsia"/>
          <w:color w:val="auto"/>
          <w:highlight w:val="none"/>
        </w:rPr>
        <w:t>1.6 在签订合同之后，</w:t>
      </w:r>
      <w:r>
        <w:rPr>
          <w:rFonts w:hint="eastAsia"/>
          <w:color w:val="auto"/>
          <w:highlight w:val="none"/>
          <w:lang w:eastAsia="zh-CN"/>
        </w:rPr>
        <w:t>采购人</w:t>
      </w:r>
      <w:r>
        <w:rPr>
          <w:rFonts w:hint="eastAsia"/>
          <w:color w:val="auto"/>
          <w:highlight w:val="none"/>
        </w:rPr>
        <w:t>保留对本技术规范书提出补充要求和修改的权利，</w:t>
      </w:r>
      <w:r>
        <w:rPr>
          <w:rFonts w:hint="eastAsia"/>
          <w:color w:val="auto"/>
          <w:highlight w:val="none"/>
          <w:lang w:eastAsia="zh-CN"/>
        </w:rPr>
        <w:t>响应人</w:t>
      </w:r>
      <w:r>
        <w:rPr>
          <w:rFonts w:hint="eastAsia"/>
          <w:color w:val="auto"/>
          <w:highlight w:val="none"/>
        </w:rPr>
        <w:t>应承诺予以配合行业要求及规范变化。本技术规范书解释权归</w:t>
      </w:r>
      <w:r>
        <w:rPr>
          <w:rFonts w:hint="eastAsia"/>
          <w:color w:val="auto"/>
          <w:highlight w:val="none"/>
          <w:lang w:eastAsia="zh-CN"/>
        </w:rPr>
        <w:t>采购人</w:t>
      </w:r>
      <w:r>
        <w:rPr>
          <w:rFonts w:hint="eastAsia"/>
          <w:color w:val="auto"/>
          <w:highlight w:val="none"/>
        </w:rPr>
        <w:t>。</w:t>
      </w:r>
    </w:p>
    <w:p w14:paraId="434DD64A">
      <w:pPr>
        <w:numPr>
          <w:ilvl w:val="0"/>
          <w:numId w:val="2"/>
        </w:numPr>
        <w:spacing w:before="234" w:beforeLines="75" w:line="360" w:lineRule="auto"/>
        <w:ind w:firstLine="420"/>
        <w:outlineLvl w:val="0"/>
        <w:rPr>
          <w:color w:val="auto"/>
          <w:sz w:val="24"/>
          <w:szCs w:val="24"/>
          <w:highlight w:val="none"/>
        </w:rPr>
      </w:pPr>
      <w:bookmarkStart w:id="6" w:name="_Toc459361977"/>
      <w:bookmarkStart w:id="7" w:name="_Toc430783711"/>
      <w:bookmarkStart w:id="8" w:name="_Toc10553"/>
      <w:bookmarkStart w:id="9" w:name="_Toc12749"/>
      <w:bookmarkStart w:id="10" w:name="_Toc24465"/>
      <w:r>
        <w:rPr>
          <w:rFonts w:hint="eastAsia"/>
          <w:color w:val="auto"/>
          <w:sz w:val="24"/>
          <w:szCs w:val="24"/>
          <w:highlight w:val="none"/>
        </w:rPr>
        <w:t>工程概况</w:t>
      </w:r>
      <w:bookmarkEnd w:id="6"/>
      <w:bookmarkEnd w:id="7"/>
      <w:bookmarkEnd w:id="8"/>
      <w:bookmarkEnd w:id="9"/>
      <w:bookmarkEnd w:id="10"/>
    </w:p>
    <w:p w14:paraId="228CA570">
      <w:pPr>
        <w:spacing w:line="360" w:lineRule="auto"/>
        <w:rPr>
          <w:color w:val="auto"/>
          <w:highlight w:val="none"/>
        </w:rPr>
      </w:pPr>
      <w:bookmarkStart w:id="11" w:name="_Toc10256"/>
      <w:r>
        <w:rPr>
          <w:rFonts w:hint="eastAsia"/>
          <w:color w:val="auto"/>
          <w:highlight w:val="none"/>
        </w:rPr>
        <w:t>2.1  地理位置</w:t>
      </w:r>
      <w:bookmarkEnd w:id="11"/>
    </w:p>
    <w:p w14:paraId="0BD33430">
      <w:pPr>
        <w:spacing w:line="360" w:lineRule="auto"/>
        <w:ind w:firstLine="420" w:firstLineChars="200"/>
        <w:rPr>
          <w:color w:val="auto"/>
          <w:highlight w:val="none"/>
        </w:rPr>
      </w:pPr>
      <w:r>
        <w:rPr>
          <w:rFonts w:hint="eastAsia"/>
          <w:color w:val="auto"/>
          <w:highlight w:val="none"/>
        </w:rPr>
        <w:t>电厂厂址位于泸州市江阳区江北镇，西北距江北镇约600m，东北距泸州市区直线距离约15km，公路距离约30km，东面距纳溪区约7.5km，南面距长江北岸约2km，北面距泸州机场跑道轴线延长方向约2km。</w:t>
      </w:r>
    </w:p>
    <w:p w14:paraId="53C68D57">
      <w:pPr>
        <w:spacing w:line="360" w:lineRule="auto"/>
        <w:rPr>
          <w:rFonts w:hint="eastAsia"/>
          <w:color w:val="auto"/>
          <w:highlight w:val="none"/>
        </w:rPr>
      </w:pPr>
      <w:bookmarkStart w:id="12" w:name="_Toc21746"/>
      <w:r>
        <w:rPr>
          <w:rFonts w:hint="eastAsia"/>
          <w:color w:val="auto"/>
          <w:highlight w:val="none"/>
        </w:rPr>
        <w:t>2.2  系统概述</w:t>
      </w:r>
      <w:bookmarkEnd w:id="12"/>
    </w:p>
    <w:p w14:paraId="72C79B99">
      <w:pPr>
        <w:pStyle w:val="2"/>
        <w:ind w:firstLine="420" w:firstLineChars="200"/>
        <w:rPr>
          <w:rFonts w:hint="eastAsia" w:eastAsia="宋体" w:cs="Times New Roman"/>
          <w:color w:val="auto"/>
          <w:kern w:val="2"/>
          <w:sz w:val="21"/>
          <w:szCs w:val="22"/>
          <w:highlight w:val="none"/>
          <w:lang w:val="en-US" w:eastAsia="zh-CN" w:bidi="ar-SA"/>
        </w:rPr>
      </w:pPr>
      <w:r>
        <w:rPr>
          <w:rFonts w:hint="eastAsia" w:ascii="Calibri" w:hAnsi="Calibri" w:eastAsia="宋体" w:cs="Times New Roman"/>
          <w:color w:val="auto"/>
          <w:kern w:val="2"/>
          <w:sz w:val="21"/>
          <w:szCs w:val="22"/>
          <w:highlight w:val="none"/>
          <w:lang w:val="en-US" w:eastAsia="zh-CN" w:bidi="ar-SA"/>
        </w:rPr>
        <w:t>电厂</w:t>
      </w:r>
      <w:r>
        <w:rPr>
          <w:rFonts w:hint="eastAsia" w:eastAsia="宋体" w:cs="Times New Roman"/>
          <w:color w:val="auto"/>
          <w:kern w:val="2"/>
          <w:sz w:val="21"/>
          <w:szCs w:val="22"/>
          <w:highlight w:val="none"/>
          <w:lang w:val="en-US" w:eastAsia="zh-CN" w:bidi="ar-SA"/>
        </w:rPr>
        <w:t>#1、#2机</w:t>
      </w:r>
      <w:r>
        <w:rPr>
          <w:rFonts w:hint="eastAsia" w:ascii="Calibri" w:hAnsi="Calibri" w:eastAsia="宋体" w:cs="Times New Roman"/>
          <w:color w:val="auto"/>
          <w:kern w:val="2"/>
          <w:sz w:val="21"/>
          <w:szCs w:val="22"/>
          <w:highlight w:val="none"/>
          <w:lang w:val="en-US" w:eastAsia="zh-CN" w:bidi="ar-SA"/>
        </w:rPr>
        <w:t>DCS</w:t>
      </w:r>
      <w:r>
        <w:rPr>
          <w:rFonts w:hint="eastAsia" w:eastAsia="宋体" w:cs="Times New Roman"/>
          <w:color w:val="auto"/>
          <w:kern w:val="2"/>
          <w:sz w:val="21"/>
          <w:szCs w:val="22"/>
          <w:highlight w:val="none"/>
          <w:lang w:val="en-US" w:eastAsia="zh-CN" w:bidi="ar-SA"/>
        </w:rPr>
        <w:t>分散</w:t>
      </w:r>
      <w:r>
        <w:rPr>
          <w:rFonts w:hint="eastAsia" w:ascii="Calibri" w:hAnsi="Calibri" w:eastAsia="宋体" w:cs="Times New Roman"/>
          <w:color w:val="auto"/>
          <w:kern w:val="2"/>
          <w:sz w:val="21"/>
          <w:szCs w:val="22"/>
          <w:highlight w:val="none"/>
          <w:lang w:val="en-US" w:eastAsia="zh-CN" w:bidi="ar-SA"/>
        </w:rPr>
        <w:t>控制系统</w:t>
      </w:r>
      <w:r>
        <w:rPr>
          <w:rFonts w:hint="eastAsia" w:eastAsia="宋体" w:cs="Times New Roman"/>
          <w:color w:val="auto"/>
          <w:kern w:val="2"/>
          <w:sz w:val="21"/>
          <w:szCs w:val="22"/>
          <w:highlight w:val="none"/>
          <w:lang w:val="en-US" w:eastAsia="zh-CN" w:bidi="ar-SA"/>
        </w:rPr>
        <w:t>ovation公司产品，布置在独立的电子间，系统配备了PWCS网络安全柜，安装有安全交换机、工业防火墙、入侵检测装置、网络审计等设备。</w:t>
      </w:r>
    </w:p>
    <w:p w14:paraId="2F292443">
      <w:pPr>
        <w:pStyle w:val="2"/>
        <w:ind w:firstLine="420" w:firstLineChars="200"/>
        <w:rPr>
          <w:rFonts w:hint="eastAsia" w:eastAsia="宋体" w:cs="Times New Roman"/>
          <w:color w:val="auto"/>
          <w:kern w:val="2"/>
          <w:sz w:val="21"/>
          <w:szCs w:val="22"/>
          <w:highlight w:val="none"/>
          <w:lang w:val="en-US" w:eastAsia="zh-CN" w:bidi="ar-SA"/>
        </w:rPr>
      </w:pPr>
      <w:r>
        <w:rPr>
          <w:rFonts w:hint="eastAsia" w:eastAsia="宋体" w:cs="Times New Roman"/>
          <w:color w:val="auto"/>
          <w:kern w:val="2"/>
          <w:sz w:val="21"/>
          <w:szCs w:val="22"/>
          <w:highlight w:val="none"/>
          <w:lang w:val="en-US" w:eastAsia="zh-CN" w:bidi="ar-SA"/>
        </w:rPr>
        <w:t>电厂调度数据网包含光传输装置、省调一平面及二平面、保信子站、PMU、RTU、网络监控后台及交换机、路由器、加密机等设备。</w:t>
      </w:r>
    </w:p>
    <w:p w14:paraId="13FC7452">
      <w:pPr>
        <w:numPr>
          <w:ilvl w:val="0"/>
          <w:numId w:val="2"/>
        </w:numPr>
        <w:spacing w:before="234" w:beforeLines="75" w:line="360" w:lineRule="auto"/>
        <w:ind w:firstLine="420"/>
        <w:outlineLvl w:val="0"/>
        <w:rPr>
          <w:color w:val="auto"/>
          <w:sz w:val="24"/>
          <w:szCs w:val="24"/>
          <w:highlight w:val="none"/>
        </w:rPr>
      </w:pPr>
      <w:bookmarkStart w:id="13" w:name="_Toc7130"/>
      <w:bookmarkStart w:id="14" w:name="_Toc410137064"/>
      <w:bookmarkStart w:id="15" w:name="_Toc459361978"/>
      <w:bookmarkStart w:id="16" w:name="_Toc910"/>
      <w:bookmarkStart w:id="17" w:name="_Toc430783712"/>
      <w:bookmarkStart w:id="18" w:name="_Toc5174"/>
      <w:r>
        <w:rPr>
          <w:rFonts w:hint="eastAsia"/>
          <w:color w:val="auto"/>
          <w:sz w:val="24"/>
          <w:szCs w:val="24"/>
          <w:highlight w:val="none"/>
        </w:rPr>
        <w:t>标准规范</w:t>
      </w:r>
      <w:bookmarkEnd w:id="13"/>
      <w:bookmarkEnd w:id="14"/>
      <w:bookmarkEnd w:id="15"/>
      <w:bookmarkEnd w:id="16"/>
      <w:bookmarkEnd w:id="17"/>
      <w:r>
        <w:rPr>
          <w:rFonts w:hint="eastAsia"/>
          <w:color w:val="auto"/>
          <w:sz w:val="24"/>
          <w:szCs w:val="24"/>
          <w:highlight w:val="none"/>
        </w:rPr>
        <w:t>及原则</w:t>
      </w:r>
      <w:bookmarkEnd w:id="18"/>
    </w:p>
    <w:p w14:paraId="4324A179">
      <w:pPr>
        <w:spacing w:line="360" w:lineRule="auto"/>
        <w:rPr>
          <w:color w:val="auto"/>
          <w:highlight w:val="none"/>
        </w:rPr>
      </w:pPr>
      <w:r>
        <w:rPr>
          <w:rFonts w:hint="eastAsia"/>
          <w:color w:val="auto"/>
          <w:highlight w:val="none"/>
        </w:rPr>
        <w:t>3.1</w:t>
      </w:r>
      <w:r>
        <w:rPr>
          <w:rFonts w:hint="eastAsia"/>
          <w:color w:val="auto"/>
          <w:highlight w:val="none"/>
          <w:lang w:eastAsia="zh-CN"/>
        </w:rPr>
        <w:t>响应人</w:t>
      </w:r>
      <w:r>
        <w:rPr>
          <w:rFonts w:hint="eastAsia"/>
          <w:color w:val="auto"/>
          <w:highlight w:val="none"/>
        </w:rPr>
        <w:t>须执行本技术规范所列标准。本技术规范与现行规程规范有矛盾时，按较高标准执行。</w:t>
      </w:r>
      <w:r>
        <w:rPr>
          <w:rFonts w:hint="eastAsia"/>
          <w:color w:val="auto"/>
          <w:highlight w:val="none"/>
          <w:lang w:eastAsia="zh-CN"/>
        </w:rPr>
        <w:t>响应人</w:t>
      </w:r>
      <w:r>
        <w:rPr>
          <w:rFonts w:hint="eastAsia"/>
          <w:color w:val="auto"/>
          <w:highlight w:val="none"/>
        </w:rPr>
        <w:t>应在投标阶段提交所采用的全部标准与规范清单，且至少是下列规范、规程和标准的最新版本。在合同执行过程中，</w:t>
      </w:r>
      <w:r>
        <w:rPr>
          <w:rFonts w:hint="eastAsia"/>
          <w:color w:val="auto"/>
          <w:highlight w:val="none"/>
          <w:lang w:eastAsia="zh-CN"/>
        </w:rPr>
        <w:t>响应人</w:t>
      </w:r>
      <w:r>
        <w:rPr>
          <w:rFonts w:hint="eastAsia"/>
          <w:color w:val="auto"/>
          <w:highlight w:val="none"/>
        </w:rPr>
        <w:t>采用的其他标准需经</w:t>
      </w:r>
      <w:r>
        <w:rPr>
          <w:rFonts w:hint="eastAsia"/>
          <w:color w:val="auto"/>
          <w:highlight w:val="none"/>
          <w:lang w:eastAsia="zh-CN"/>
        </w:rPr>
        <w:t>采购人</w:t>
      </w:r>
      <w:r>
        <w:rPr>
          <w:rFonts w:hint="eastAsia"/>
          <w:color w:val="auto"/>
          <w:highlight w:val="none"/>
        </w:rPr>
        <w:t>确认。</w:t>
      </w:r>
    </w:p>
    <w:p w14:paraId="32472B0A">
      <w:pPr>
        <w:spacing w:line="360" w:lineRule="auto"/>
        <w:ind w:firstLine="567" w:firstLineChars="270"/>
        <w:rPr>
          <w:color w:val="auto"/>
          <w:highlight w:val="none"/>
        </w:rPr>
      </w:pPr>
      <w:bookmarkStart w:id="19" w:name="_Toc430783713"/>
      <w:bookmarkStart w:id="20" w:name="_Toc25619"/>
      <w:bookmarkStart w:id="21" w:name="_Toc459361979"/>
      <w:bookmarkStart w:id="22" w:name="_Toc31846"/>
      <w:r>
        <w:rPr>
          <w:rFonts w:hint="eastAsia"/>
          <w:color w:val="auto"/>
          <w:highlight w:val="none"/>
        </w:rPr>
        <w:t>《中华人民共和国网络安全法》</w:t>
      </w:r>
    </w:p>
    <w:p w14:paraId="7F305DA4">
      <w:pPr>
        <w:spacing w:line="360" w:lineRule="auto"/>
        <w:ind w:firstLine="567" w:firstLineChars="270"/>
        <w:rPr>
          <w:color w:val="auto"/>
          <w:highlight w:val="none"/>
        </w:rPr>
      </w:pPr>
      <w:r>
        <w:rPr>
          <w:rFonts w:hint="eastAsia"/>
          <w:color w:val="auto"/>
          <w:highlight w:val="none"/>
        </w:rPr>
        <w:t>GB17859-1999：《计算机信息系统安全保护等级划分准则》</w:t>
      </w:r>
    </w:p>
    <w:p w14:paraId="1625CD8B">
      <w:pPr>
        <w:spacing w:line="360" w:lineRule="auto"/>
        <w:ind w:firstLine="567" w:firstLineChars="270"/>
        <w:rPr>
          <w:color w:val="auto"/>
          <w:highlight w:val="none"/>
        </w:rPr>
      </w:pPr>
      <w:r>
        <w:rPr>
          <w:rFonts w:hint="eastAsia"/>
          <w:color w:val="auto"/>
          <w:highlight w:val="none"/>
        </w:rPr>
        <w:t>GB/T 22239-2019：《信息安全技术 网络安全等级保护基本要求》</w:t>
      </w:r>
    </w:p>
    <w:p w14:paraId="14E165EE">
      <w:pPr>
        <w:spacing w:line="360" w:lineRule="auto"/>
        <w:ind w:firstLine="567" w:firstLineChars="270"/>
        <w:rPr>
          <w:color w:val="auto"/>
          <w:highlight w:val="none"/>
        </w:rPr>
      </w:pPr>
      <w:r>
        <w:rPr>
          <w:rFonts w:hint="eastAsia"/>
          <w:color w:val="auto"/>
          <w:highlight w:val="none"/>
        </w:rPr>
        <w:t>GB/T 22240-</w:t>
      </w:r>
      <w:r>
        <w:rPr>
          <w:color w:val="auto"/>
          <w:highlight w:val="none"/>
        </w:rPr>
        <w:t>2020</w:t>
      </w:r>
      <w:r>
        <w:rPr>
          <w:rFonts w:hint="eastAsia"/>
          <w:color w:val="auto"/>
          <w:highlight w:val="none"/>
        </w:rPr>
        <w:t>：《信息安全技术 网络安全等级保护定级指南》</w:t>
      </w:r>
    </w:p>
    <w:p w14:paraId="61A1552E">
      <w:pPr>
        <w:spacing w:line="360" w:lineRule="auto"/>
        <w:ind w:firstLine="567" w:firstLineChars="270"/>
        <w:rPr>
          <w:color w:val="auto"/>
          <w:highlight w:val="none"/>
        </w:rPr>
      </w:pPr>
      <w:r>
        <w:rPr>
          <w:rFonts w:hint="eastAsia"/>
          <w:color w:val="auto"/>
          <w:highlight w:val="none"/>
        </w:rPr>
        <w:t>GB/T 25058-2019：《信息安全技术 网络安全等级保护实施指南》</w:t>
      </w:r>
    </w:p>
    <w:p w14:paraId="34F44C00">
      <w:pPr>
        <w:spacing w:line="360" w:lineRule="auto"/>
        <w:ind w:firstLine="567" w:firstLineChars="270"/>
        <w:rPr>
          <w:color w:val="auto"/>
          <w:highlight w:val="none"/>
        </w:rPr>
      </w:pPr>
      <w:r>
        <w:rPr>
          <w:rFonts w:hint="eastAsia"/>
          <w:color w:val="auto"/>
          <w:highlight w:val="none"/>
        </w:rPr>
        <w:t>GB/T 25070-2019：《信息安全技术 网络安全等级保护安全设计技术要求》</w:t>
      </w:r>
    </w:p>
    <w:p w14:paraId="08BDE1A9">
      <w:pPr>
        <w:spacing w:line="360" w:lineRule="auto"/>
        <w:ind w:firstLine="567" w:firstLineChars="270"/>
        <w:rPr>
          <w:color w:val="auto"/>
          <w:highlight w:val="none"/>
        </w:rPr>
      </w:pPr>
      <w:r>
        <w:rPr>
          <w:rFonts w:hint="eastAsia"/>
          <w:color w:val="auto"/>
          <w:highlight w:val="none"/>
        </w:rPr>
        <w:t>GB/T 28448-2019：《信息安全技术 网络安全等级保护测评要求》</w:t>
      </w:r>
    </w:p>
    <w:p w14:paraId="1310815B">
      <w:pPr>
        <w:spacing w:line="360" w:lineRule="auto"/>
        <w:ind w:firstLine="567" w:firstLineChars="270"/>
        <w:rPr>
          <w:color w:val="auto"/>
          <w:highlight w:val="none"/>
        </w:rPr>
      </w:pPr>
      <w:r>
        <w:rPr>
          <w:rFonts w:hint="eastAsia"/>
          <w:color w:val="auto"/>
          <w:highlight w:val="none"/>
        </w:rPr>
        <w:t>GB/T 28449-2018：《信息安全技术 网络安全等级保护测评过程指南》</w:t>
      </w:r>
    </w:p>
    <w:p w14:paraId="5835918E">
      <w:pPr>
        <w:spacing w:line="360" w:lineRule="auto"/>
        <w:ind w:firstLine="567" w:firstLineChars="270"/>
        <w:rPr>
          <w:color w:val="auto"/>
          <w:highlight w:val="none"/>
        </w:rPr>
      </w:pPr>
      <w:r>
        <w:rPr>
          <w:rFonts w:hint="eastAsia"/>
          <w:color w:val="auto"/>
          <w:highlight w:val="none"/>
        </w:rPr>
        <w:t>GB/T 31509-2015：《信息安全技术 信息安全风险评估实施指南》</w:t>
      </w:r>
    </w:p>
    <w:p w14:paraId="419BFB85">
      <w:pPr>
        <w:spacing w:line="360" w:lineRule="auto"/>
        <w:ind w:firstLine="567" w:firstLineChars="270"/>
        <w:rPr>
          <w:color w:val="auto"/>
          <w:highlight w:val="none"/>
        </w:rPr>
      </w:pPr>
      <w:r>
        <w:rPr>
          <w:rFonts w:hint="eastAsia"/>
          <w:color w:val="auto"/>
          <w:highlight w:val="none"/>
        </w:rPr>
        <w:t>GB/T 20984-2022：《信息安全技术 信息安全风险评估方法》</w:t>
      </w:r>
    </w:p>
    <w:p w14:paraId="48DE61B7">
      <w:pPr>
        <w:spacing w:line="360" w:lineRule="auto"/>
        <w:ind w:firstLine="567" w:firstLineChars="270"/>
        <w:rPr>
          <w:color w:val="auto"/>
          <w:highlight w:val="none"/>
        </w:rPr>
      </w:pPr>
      <w:r>
        <w:rPr>
          <w:rFonts w:hint="eastAsia"/>
          <w:color w:val="auto"/>
          <w:highlight w:val="none"/>
        </w:rPr>
        <w:t>GB/T 36627-2018：《信息安全技术 网络安全等级保护测试评估技术指南》</w:t>
      </w:r>
    </w:p>
    <w:p w14:paraId="6DA5DEA4">
      <w:pPr>
        <w:spacing w:line="360" w:lineRule="auto"/>
        <w:ind w:firstLine="567" w:firstLineChars="270"/>
        <w:rPr>
          <w:color w:val="auto"/>
          <w:highlight w:val="none"/>
        </w:rPr>
      </w:pPr>
      <w:r>
        <w:rPr>
          <w:rFonts w:hint="eastAsia"/>
          <w:color w:val="auto"/>
          <w:highlight w:val="none"/>
        </w:rPr>
        <w:t>GB/T 36959-2018：《信息安全技术 网络安全等级保护测评机构能力要求和评估规范》</w:t>
      </w:r>
    </w:p>
    <w:p w14:paraId="43B303A4">
      <w:pPr>
        <w:spacing w:line="360" w:lineRule="auto"/>
        <w:ind w:firstLine="567" w:firstLineChars="270"/>
        <w:rPr>
          <w:color w:val="auto"/>
          <w:highlight w:val="none"/>
        </w:rPr>
      </w:pPr>
      <w:r>
        <w:rPr>
          <w:rFonts w:hint="eastAsia"/>
          <w:color w:val="auto"/>
          <w:highlight w:val="none"/>
        </w:rPr>
        <w:t>DLT 2614-2023：《电力行业网络安全等级保护基本要求》</w:t>
      </w:r>
    </w:p>
    <w:p w14:paraId="6CFBE79B">
      <w:pPr>
        <w:spacing w:line="360" w:lineRule="auto"/>
        <w:ind w:firstLine="567" w:firstLineChars="270"/>
        <w:rPr>
          <w:color w:val="auto"/>
          <w:highlight w:val="none"/>
        </w:rPr>
      </w:pPr>
      <w:r>
        <w:rPr>
          <w:rFonts w:hint="eastAsia"/>
          <w:color w:val="auto"/>
          <w:highlight w:val="none"/>
        </w:rPr>
        <w:t>DLT 2613-2023：《电力行业网络安全等级保护测评指南》</w:t>
      </w:r>
    </w:p>
    <w:p w14:paraId="1BEF0117">
      <w:pPr>
        <w:adjustRightInd w:val="0"/>
        <w:snapToGrid w:val="0"/>
        <w:spacing w:line="360" w:lineRule="auto"/>
        <w:ind w:firstLine="567" w:firstLineChars="270"/>
        <w:rPr>
          <w:rFonts w:hint="eastAsia" w:ascii="宋体" w:hAnsi="宋体" w:cs="宋体"/>
          <w:color w:val="auto"/>
          <w:highlight w:val="none"/>
        </w:rPr>
      </w:pPr>
      <w:r>
        <w:rPr>
          <w:rFonts w:hint="eastAsia" w:ascii="宋体" w:hAnsi="宋体" w:cs="宋体"/>
          <w:color w:val="auto"/>
          <w:highlight w:val="none"/>
        </w:rPr>
        <w:t>《电力监控系统安全防护规定》 （国家发展改革委员会[2014年]第14号令）</w:t>
      </w:r>
    </w:p>
    <w:p w14:paraId="3CD3B9BC">
      <w:pPr>
        <w:adjustRightInd w:val="0"/>
        <w:snapToGrid w:val="0"/>
        <w:spacing w:line="360" w:lineRule="auto"/>
        <w:ind w:firstLine="567" w:firstLineChars="270"/>
        <w:rPr>
          <w:rFonts w:hint="eastAsia" w:ascii="宋体" w:hAnsi="宋体" w:cs="宋体"/>
          <w:color w:val="auto"/>
          <w:highlight w:val="none"/>
        </w:rPr>
      </w:pPr>
      <w:r>
        <w:rPr>
          <w:rFonts w:hint="eastAsia" w:ascii="宋体" w:hAnsi="宋体" w:cs="宋体"/>
          <w:color w:val="auto"/>
          <w:highlight w:val="none"/>
        </w:rPr>
        <w:t>《电力监控系统安全防护评估规范》 国能安全[2015]36号</w:t>
      </w:r>
    </w:p>
    <w:p w14:paraId="4DED7FC4">
      <w:pPr>
        <w:adjustRightInd w:val="0"/>
        <w:snapToGrid w:val="0"/>
        <w:spacing w:line="360" w:lineRule="auto"/>
        <w:ind w:firstLine="567" w:firstLineChars="270"/>
        <w:rPr>
          <w:color w:val="auto"/>
          <w:highlight w:val="none"/>
        </w:rPr>
      </w:pPr>
      <w:r>
        <w:rPr>
          <w:rFonts w:hint="eastAsia" w:ascii="宋体" w:hAnsi="宋体" w:cs="宋体"/>
          <w:color w:val="auto"/>
          <w:highlight w:val="none"/>
        </w:rPr>
        <w:t>《电力行业网络安全等级保护管理办法》（国能发安全规〔2022〕101号）</w:t>
      </w:r>
    </w:p>
    <w:p w14:paraId="12EF7313">
      <w:pPr>
        <w:spacing w:line="360" w:lineRule="auto"/>
        <w:rPr>
          <w:color w:val="auto"/>
          <w:highlight w:val="none"/>
        </w:rPr>
      </w:pPr>
      <w:r>
        <w:rPr>
          <w:rFonts w:hint="eastAsia"/>
          <w:color w:val="auto"/>
          <w:highlight w:val="none"/>
        </w:rPr>
        <w:t>3.2 测评原则</w:t>
      </w:r>
    </w:p>
    <w:p w14:paraId="79B51806">
      <w:pPr>
        <w:spacing w:line="360" w:lineRule="auto"/>
        <w:rPr>
          <w:color w:val="auto"/>
          <w:highlight w:val="none"/>
        </w:rPr>
      </w:pPr>
      <w:r>
        <w:rPr>
          <w:rFonts w:hint="eastAsia"/>
          <w:color w:val="auto"/>
          <w:highlight w:val="none"/>
        </w:rPr>
        <w:t>网络等级保护测评方案设计与实施应满足以下原则：</w:t>
      </w:r>
    </w:p>
    <w:p w14:paraId="6704367C">
      <w:pPr>
        <w:spacing w:line="360" w:lineRule="auto"/>
        <w:ind w:firstLine="424" w:firstLineChars="202"/>
        <w:rPr>
          <w:color w:val="auto"/>
          <w:highlight w:val="none"/>
        </w:rPr>
      </w:pPr>
      <w:r>
        <w:rPr>
          <w:rFonts w:hint="eastAsia"/>
          <w:color w:val="auto"/>
          <w:highlight w:val="none"/>
        </w:rPr>
        <w:t>（1）符合性原则：应符合国家网络安全等级保护制度及相关法律法规，指出防范的方针和保护的原则。</w:t>
      </w:r>
    </w:p>
    <w:p w14:paraId="05A599B6">
      <w:pPr>
        <w:spacing w:line="360" w:lineRule="auto"/>
        <w:ind w:firstLine="424" w:firstLineChars="202"/>
        <w:rPr>
          <w:color w:val="auto"/>
          <w:highlight w:val="none"/>
        </w:rPr>
      </w:pPr>
      <w:r>
        <w:rPr>
          <w:rFonts w:hint="eastAsia"/>
          <w:color w:val="auto"/>
          <w:highlight w:val="none"/>
        </w:rPr>
        <w:t>（2）标准性原则：方案设计、实施与网络安全体系的构建应依据国内、国际的相关标准进行。</w:t>
      </w:r>
    </w:p>
    <w:p w14:paraId="51127114">
      <w:pPr>
        <w:spacing w:line="360" w:lineRule="auto"/>
        <w:ind w:firstLine="424" w:firstLineChars="202"/>
        <w:rPr>
          <w:color w:val="auto"/>
          <w:highlight w:val="none"/>
        </w:rPr>
      </w:pPr>
      <w:r>
        <w:rPr>
          <w:rFonts w:hint="eastAsia"/>
          <w:color w:val="auto"/>
          <w:highlight w:val="none"/>
        </w:rPr>
        <w:t>（3）规范性原则：项目实施应由专业的等级测评师依照规范的操作流程进行，在实施之前将详细量化出每项测评内容，对操作过程和结果提供规范的记录，以便于项目的跟踪和控制。</w:t>
      </w:r>
    </w:p>
    <w:p w14:paraId="75848113">
      <w:pPr>
        <w:spacing w:line="360" w:lineRule="auto"/>
        <w:ind w:firstLine="424" w:firstLineChars="202"/>
        <w:rPr>
          <w:color w:val="auto"/>
          <w:highlight w:val="none"/>
        </w:rPr>
      </w:pPr>
      <w:r>
        <w:rPr>
          <w:rFonts w:hint="eastAsia"/>
          <w:color w:val="auto"/>
          <w:highlight w:val="none"/>
        </w:rPr>
        <w:t>（4）可控性原则：项目实施的方法和过程要在双方认可的范围之内，实施进度要按照进度表进度的安排，保证项目实施的可控性。</w:t>
      </w:r>
    </w:p>
    <w:p w14:paraId="20FCB19E">
      <w:pPr>
        <w:spacing w:line="360" w:lineRule="auto"/>
        <w:ind w:firstLine="424" w:firstLineChars="202"/>
        <w:rPr>
          <w:color w:val="auto"/>
          <w:highlight w:val="none"/>
        </w:rPr>
      </w:pPr>
      <w:r>
        <w:rPr>
          <w:rFonts w:hint="eastAsia"/>
          <w:color w:val="auto"/>
          <w:highlight w:val="none"/>
        </w:rPr>
        <w:t>（5）整体性原则：安全体系设计的范围和内容应当整体全面，包括安全涉及的各个层面，避免由于遗漏造成未来的安全隐患。</w:t>
      </w:r>
    </w:p>
    <w:p w14:paraId="0EF8458B">
      <w:pPr>
        <w:spacing w:line="360" w:lineRule="auto"/>
        <w:ind w:firstLine="424" w:firstLineChars="202"/>
        <w:rPr>
          <w:color w:val="auto"/>
          <w:highlight w:val="none"/>
        </w:rPr>
      </w:pPr>
      <w:r>
        <w:rPr>
          <w:rFonts w:hint="eastAsia"/>
          <w:color w:val="auto"/>
          <w:highlight w:val="none"/>
        </w:rPr>
        <w:t>（6）最小影响原则：项目实施工作应尽可能小的影响网络和信息系统的正常运行，不能对信息系统的运行和业务的正常提供产生显著影响。</w:t>
      </w:r>
    </w:p>
    <w:p w14:paraId="01F3D568">
      <w:pPr>
        <w:spacing w:line="360" w:lineRule="auto"/>
        <w:ind w:firstLine="424" w:firstLineChars="202"/>
        <w:rPr>
          <w:color w:val="auto"/>
          <w:highlight w:val="none"/>
        </w:rPr>
      </w:pPr>
      <w:r>
        <w:rPr>
          <w:rFonts w:hint="eastAsia"/>
          <w:color w:val="auto"/>
          <w:highlight w:val="none"/>
        </w:rPr>
        <w:t>（7）保密原则：对项目实施过程获得的数据和结果严格保密，未经授权不得泄露给任何单位和个人，不得利用此数据和结果进行任何侵害测评委托单位利益的行为。</w:t>
      </w:r>
    </w:p>
    <w:bookmarkEnd w:id="19"/>
    <w:p w14:paraId="1952C40C">
      <w:pPr>
        <w:numPr>
          <w:ilvl w:val="0"/>
          <w:numId w:val="2"/>
        </w:numPr>
        <w:spacing w:before="234" w:beforeLines="75" w:line="360" w:lineRule="auto"/>
        <w:ind w:firstLine="420"/>
        <w:outlineLvl w:val="0"/>
        <w:rPr>
          <w:color w:val="auto"/>
          <w:sz w:val="24"/>
          <w:szCs w:val="24"/>
          <w:highlight w:val="none"/>
        </w:rPr>
      </w:pPr>
      <w:bookmarkStart w:id="23" w:name="_Toc6460"/>
      <w:r>
        <w:rPr>
          <w:rFonts w:hint="eastAsia"/>
          <w:color w:val="auto"/>
          <w:sz w:val="24"/>
          <w:szCs w:val="24"/>
          <w:highlight w:val="none"/>
        </w:rPr>
        <w:t>测评及服务内容</w:t>
      </w:r>
      <w:bookmarkEnd w:id="20"/>
      <w:bookmarkEnd w:id="21"/>
      <w:bookmarkEnd w:id="22"/>
      <w:bookmarkEnd w:id="23"/>
    </w:p>
    <w:p w14:paraId="1B1B2C2D">
      <w:pPr>
        <w:spacing w:line="360" w:lineRule="auto"/>
        <w:rPr>
          <w:color w:val="auto"/>
          <w:highlight w:val="none"/>
        </w:rPr>
      </w:pPr>
      <w:bookmarkStart w:id="24" w:name="_Toc8487"/>
      <w:r>
        <w:rPr>
          <w:rFonts w:hint="eastAsia"/>
          <w:color w:val="auto"/>
          <w:highlight w:val="none"/>
        </w:rPr>
        <w:t>4.1</w:t>
      </w:r>
      <w:bookmarkEnd w:id="24"/>
      <w:r>
        <w:rPr>
          <w:rFonts w:hint="eastAsia"/>
          <w:color w:val="auto"/>
          <w:highlight w:val="none"/>
        </w:rPr>
        <w:t>测评对象</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2268"/>
        <w:gridCol w:w="3686"/>
        <w:gridCol w:w="1559"/>
        <w:gridCol w:w="1281"/>
      </w:tblGrid>
      <w:tr w14:paraId="040D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704" w:type="dxa"/>
            <w:shd w:val="clear" w:color="auto" w:fill="auto"/>
            <w:tcMar>
              <w:top w:w="12" w:type="dxa"/>
              <w:left w:w="12" w:type="dxa"/>
              <w:right w:w="12" w:type="dxa"/>
            </w:tcMar>
            <w:vAlign w:val="center"/>
          </w:tcPr>
          <w:p w14:paraId="7D09DA5D">
            <w:pPr>
              <w:spacing w:line="360" w:lineRule="auto"/>
              <w:jc w:val="center"/>
              <w:rPr>
                <w:color w:val="auto"/>
                <w:highlight w:val="none"/>
              </w:rPr>
            </w:pPr>
            <w:r>
              <w:rPr>
                <w:rFonts w:hint="eastAsia"/>
                <w:color w:val="auto"/>
                <w:highlight w:val="none"/>
              </w:rPr>
              <w:t>序号</w:t>
            </w:r>
          </w:p>
        </w:tc>
        <w:tc>
          <w:tcPr>
            <w:tcW w:w="2268" w:type="dxa"/>
          </w:tcPr>
          <w:p w14:paraId="510364F5">
            <w:pPr>
              <w:spacing w:line="360" w:lineRule="auto"/>
              <w:jc w:val="center"/>
              <w:rPr>
                <w:rFonts w:hint="eastAsia"/>
                <w:color w:val="auto"/>
                <w:highlight w:val="none"/>
              </w:rPr>
            </w:pPr>
            <w:r>
              <w:rPr>
                <w:rFonts w:hint="eastAsia"/>
                <w:color w:val="auto"/>
                <w:highlight w:val="none"/>
              </w:rPr>
              <w:t>服务内容</w:t>
            </w:r>
          </w:p>
        </w:tc>
        <w:tc>
          <w:tcPr>
            <w:tcW w:w="3686" w:type="dxa"/>
            <w:shd w:val="clear" w:color="auto" w:fill="auto"/>
            <w:tcMar>
              <w:top w:w="12" w:type="dxa"/>
              <w:left w:w="12" w:type="dxa"/>
              <w:right w:w="12" w:type="dxa"/>
            </w:tcMar>
            <w:vAlign w:val="center"/>
          </w:tcPr>
          <w:p w14:paraId="22754AF8">
            <w:pPr>
              <w:spacing w:line="360" w:lineRule="auto"/>
              <w:jc w:val="center"/>
              <w:rPr>
                <w:color w:val="auto"/>
                <w:highlight w:val="none"/>
              </w:rPr>
            </w:pPr>
            <w:r>
              <w:rPr>
                <w:rFonts w:hint="eastAsia"/>
                <w:color w:val="auto"/>
                <w:highlight w:val="none"/>
              </w:rPr>
              <w:t>系统名称</w:t>
            </w:r>
          </w:p>
        </w:tc>
        <w:tc>
          <w:tcPr>
            <w:tcW w:w="1559" w:type="dxa"/>
            <w:vAlign w:val="center"/>
          </w:tcPr>
          <w:p w14:paraId="62819EBE">
            <w:pPr>
              <w:spacing w:line="360" w:lineRule="auto"/>
              <w:jc w:val="center"/>
              <w:rPr>
                <w:color w:val="auto"/>
                <w:highlight w:val="none"/>
              </w:rPr>
            </w:pPr>
            <w:r>
              <w:rPr>
                <w:rFonts w:hint="eastAsia"/>
                <w:color w:val="auto"/>
                <w:highlight w:val="none"/>
              </w:rPr>
              <w:t>安全等级</w:t>
            </w:r>
          </w:p>
        </w:tc>
        <w:tc>
          <w:tcPr>
            <w:tcW w:w="1281" w:type="dxa"/>
            <w:vAlign w:val="center"/>
          </w:tcPr>
          <w:p w14:paraId="6818F145">
            <w:pPr>
              <w:spacing w:line="360" w:lineRule="auto"/>
              <w:jc w:val="center"/>
              <w:rPr>
                <w:color w:val="auto"/>
                <w:highlight w:val="none"/>
              </w:rPr>
            </w:pPr>
            <w:r>
              <w:rPr>
                <w:rFonts w:hint="eastAsia"/>
                <w:color w:val="auto"/>
                <w:highlight w:val="none"/>
              </w:rPr>
              <w:t>备注</w:t>
            </w:r>
          </w:p>
        </w:tc>
      </w:tr>
      <w:tr w14:paraId="0B4D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704" w:type="dxa"/>
            <w:shd w:val="clear" w:color="auto" w:fill="auto"/>
            <w:tcMar>
              <w:top w:w="12" w:type="dxa"/>
              <w:left w:w="12" w:type="dxa"/>
              <w:right w:w="12" w:type="dxa"/>
            </w:tcMar>
            <w:vAlign w:val="center"/>
          </w:tcPr>
          <w:p w14:paraId="77CD95CE">
            <w:pPr>
              <w:spacing w:line="360" w:lineRule="auto"/>
              <w:jc w:val="center"/>
              <w:rPr>
                <w:rFonts w:hint="eastAsia"/>
                <w:color w:val="auto"/>
                <w:highlight w:val="none"/>
              </w:rPr>
            </w:pPr>
            <w:r>
              <w:rPr>
                <w:rFonts w:hint="eastAsia"/>
                <w:color w:val="auto"/>
                <w:highlight w:val="none"/>
              </w:rPr>
              <w:t>1</w:t>
            </w:r>
          </w:p>
        </w:tc>
        <w:tc>
          <w:tcPr>
            <w:tcW w:w="2268" w:type="dxa"/>
          </w:tcPr>
          <w:p w14:paraId="076F2FC2">
            <w:pPr>
              <w:spacing w:line="360" w:lineRule="auto"/>
              <w:jc w:val="center"/>
              <w:rPr>
                <w:rFonts w:hint="eastAsia"/>
                <w:color w:val="auto"/>
                <w:highlight w:val="none"/>
              </w:rPr>
            </w:pPr>
            <w:r>
              <w:rPr>
                <w:rFonts w:hint="eastAsia"/>
                <w:color w:val="auto"/>
                <w:highlight w:val="none"/>
              </w:rPr>
              <w:t>等级保护测评服务</w:t>
            </w:r>
          </w:p>
        </w:tc>
        <w:tc>
          <w:tcPr>
            <w:tcW w:w="3686" w:type="dxa"/>
            <w:shd w:val="clear" w:color="auto" w:fill="auto"/>
            <w:tcMar>
              <w:top w:w="12" w:type="dxa"/>
              <w:left w:w="12" w:type="dxa"/>
              <w:right w:w="12" w:type="dxa"/>
            </w:tcMar>
            <w:vAlign w:val="center"/>
          </w:tcPr>
          <w:p w14:paraId="476BCD5E">
            <w:pPr>
              <w:spacing w:line="360" w:lineRule="auto"/>
              <w:jc w:val="center"/>
              <w:rPr>
                <w:rFonts w:hint="default" w:eastAsia="宋体"/>
                <w:color w:val="auto"/>
                <w:highlight w:val="none"/>
                <w:lang w:val="en-US" w:eastAsia="zh-CN"/>
              </w:rPr>
            </w:pPr>
            <w:r>
              <w:rPr>
                <w:rFonts w:hint="eastAsia"/>
                <w:color w:val="auto"/>
                <w:highlight w:val="none"/>
              </w:rPr>
              <w:t>#1、#2机组DCS分散控制系统</w:t>
            </w:r>
            <w:r>
              <w:rPr>
                <w:rFonts w:hint="eastAsia"/>
                <w:color w:val="auto"/>
                <w:highlight w:val="none"/>
                <w:lang w:eastAsia="zh-CN"/>
              </w:rPr>
              <w:t>；</w:t>
            </w:r>
            <w:r>
              <w:rPr>
                <w:rFonts w:hint="eastAsia"/>
                <w:color w:val="auto"/>
                <w:highlight w:val="none"/>
                <w:lang w:val="en-US" w:eastAsia="zh-CN"/>
              </w:rPr>
              <w:t>电力调度数据专网系统</w:t>
            </w:r>
          </w:p>
        </w:tc>
        <w:tc>
          <w:tcPr>
            <w:tcW w:w="1559" w:type="dxa"/>
            <w:vAlign w:val="center"/>
          </w:tcPr>
          <w:p w14:paraId="32EDA0FB">
            <w:pPr>
              <w:spacing w:line="360" w:lineRule="auto"/>
              <w:jc w:val="center"/>
              <w:rPr>
                <w:rFonts w:hint="eastAsia"/>
                <w:color w:val="auto"/>
                <w:highlight w:val="none"/>
              </w:rPr>
            </w:pPr>
            <w:r>
              <w:rPr>
                <w:rFonts w:hint="eastAsia"/>
                <w:color w:val="auto"/>
                <w:highlight w:val="none"/>
              </w:rPr>
              <w:t>三级</w:t>
            </w:r>
          </w:p>
        </w:tc>
        <w:tc>
          <w:tcPr>
            <w:tcW w:w="1281" w:type="dxa"/>
            <w:vAlign w:val="center"/>
          </w:tcPr>
          <w:p w14:paraId="26A56BA2">
            <w:pPr>
              <w:spacing w:line="360" w:lineRule="auto"/>
              <w:jc w:val="center"/>
              <w:rPr>
                <w:rFonts w:hint="eastAsia"/>
                <w:color w:val="auto"/>
                <w:highlight w:val="none"/>
              </w:rPr>
            </w:pPr>
          </w:p>
        </w:tc>
      </w:tr>
      <w:tr w14:paraId="76D9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704" w:type="dxa"/>
            <w:shd w:val="clear" w:color="auto" w:fill="auto"/>
            <w:tcMar>
              <w:top w:w="12" w:type="dxa"/>
              <w:left w:w="12" w:type="dxa"/>
              <w:right w:w="12" w:type="dxa"/>
            </w:tcMar>
            <w:vAlign w:val="center"/>
          </w:tcPr>
          <w:p w14:paraId="7C296D92">
            <w:pPr>
              <w:spacing w:line="360" w:lineRule="auto"/>
              <w:jc w:val="center"/>
              <w:rPr>
                <w:color w:val="auto"/>
                <w:highlight w:val="none"/>
              </w:rPr>
            </w:pPr>
            <w:r>
              <w:rPr>
                <w:rFonts w:hint="eastAsia"/>
                <w:color w:val="auto"/>
                <w:highlight w:val="none"/>
              </w:rPr>
              <w:t>2</w:t>
            </w:r>
          </w:p>
        </w:tc>
        <w:tc>
          <w:tcPr>
            <w:tcW w:w="2268" w:type="dxa"/>
          </w:tcPr>
          <w:p w14:paraId="60506BD4">
            <w:pPr>
              <w:spacing w:line="360" w:lineRule="auto"/>
              <w:jc w:val="center"/>
              <w:rPr>
                <w:rFonts w:hint="eastAsia"/>
                <w:color w:val="auto"/>
                <w:highlight w:val="none"/>
              </w:rPr>
            </w:pPr>
            <w:r>
              <w:rPr>
                <w:rFonts w:hint="eastAsia"/>
                <w:color w:val="auto"/>
                <w:highlight w:val="none"/>
              </w:rPr>
              <w:t>风险评估服务</w:t>
            </w:r>
          </w:p>
        </w:tc>
        <w:tc>
          <w:tcPr>
            <w:tcW w:w="3686" w:type="dxa"/>
            <w:shd w:val="clear" w:color="auto" w:fill="auto"/>
            <w:tcMar>
              <w:top w:w="12" w:type="dxa"/>
              <w:left w:w="12" w:type="dxa"/>
              <w:right w:w="12" w:type="dxa"/>
            </w:tcMar>
            <w:vAlign w:val="center"/>
          </w:tcPr>
          <w:p w14:paraId="24C3A15A">
            <w:pPr>
              <w:spacing w:line="360" w:lineRule="auto"/>
              <w:jc w:val="center"/>
              <w:rPr>
                <w:rFonts w:hint="default" w:eastAsia="宋体"/>
                <w:color w:val="auto"/>
                <w:highlight w:val="none"/>
                <w:lang w:val="en-US" w:eastAsia="zh-CN"/>
              </w:rPr>
            </w:pPr>
            <w:r>
              <w:rPr>
                <w:rFonts w:hint="eastAsia"/>
                <w:color w:val="auto"/>
                <w:highlight w:val="none"/>
              </w:rPr>
              <w:t>#1、#2机组DCS分散控制系统</w:t>
            </w:r>
            <w:r>
              <w:rPr>
                <w:rFonts w:hint="eastAsia"/>
                <w:color w:val="auto"/>
                <w:highlight w:val="none"/>
                <w:lang w:eastAsia="zh-CN"/>
              </w:rPr>
              <w:t>；</w:t>
            </w:r>
            <w:r>
              <w:rPr>
                <w:rFonts w:hint="eastAsia"/>
                <w:color w:val="auto"/>
                <w:highlight w:val="none"/>
                <w:lang w:val="en-US" w:eastAsia="zh-CN"/>
              </w:rPr>
              <w:t>电力调度数据专网系统</w:t>
            </w:r>
          </w:p>
        </w:tc>
        <w:tc>
          <w:tcPr>
            <w:tcW w:w="1559" w:type="dxa"/>
            <w:vAlign w:val="center"/>
          </w:tcPr>
          <w:p w14:paraId="37A360AF">
            <w:pPr>
              <w:spacing w:line="360" w:lineRule="auto"/>
              <w:jc w:val="center"/>
              <w:rPr>
                <w:color w:val="auto"/>
                <w:highlight w:val="none"/>
              </w:rPr>
            </w:pPr>
            <w:r>
              <w:rPr>
                <w:rFonts w:hint="eastAsia"/>
                <w:color w:val="auto"/>
                <w:highlight w:val="none"/>
              </w:rPr>
              <w:t>三级</w:t>
            </w:r>
          </w:p>
        </w:tc>
        <w:tc>
          <w:tcPr>
            <w:tcW w:w="1281" w:type="dxa"/>
            <w:vAlign w:val="center"/>
          </w:tcPr>
          <w:p w14:paraId="11D922D3">
            <w:pPr>
              <w:spacing w:line="360" w:lineRule="auto"/>
              <w:jc w:val="center"/>
              <w:rPr>
                <w:color w:val="auto"/>
                <w:highlight w:val="none"/>
              </w:rPr>
            </w:pPr>
          </w:p>
        </w:tc>
      </w:tr>
    </w:tbl>
    <w:p w14:paraId="59069961">
      <w:pPr>
        <w:spacing w:line="360" w:lineRule="auto"/>
        <w:rPr>
          <w:color w:val="auto"/>
          <w:highlight w:val="none"/>
        </w:rPr>
      </w:pPr>
      <w:bookmarkStart w:id="25" w:name="_Toc69194684"/>
      <w:bookmarkStart w:id="26" w:name="_Toc496626082"/>
      <w:bookmarkStart w:id="27" w:name="_Toc17087"/>
      <w:bookmarkStart w:id="28" w:name="_Toc328497610"/>
      <w:bookmarkStart w:id="29" w:name="_Toc430783715"/>
      <w:bookmarkStart w:id="30" w:name="_Toc27941"/>
      <w:bookmarkStart w:id="31" w:name="_Toc10404"/>
      <w:bookmarkStart w:id="32" w:name="_Toc459361980"/>
      <w:r>
        <w:rPr>
          <w:rFonts w:hint="eastAsia"/>
          <w:color w:val="auto"/>
          <w:highlight w:val="none"/>
        </w:rPr>
        <w:t>4.2测评内容</w:t>
      </w:r>
      <w:bookmarkEnd w:id="25"/>
    </w:p>
    <w:p w14:paraId="48701B58">
      <w:pPr>
        <w:spacing w:line="360" w:lineRule="auto"/>
        <w:ind w:firstLine="424" w:firstLineChars="202"/>
        <w:rPr>
          <w:color w:val="auto"/>
          <w:highlight w:val="none"/>
        </w:rPr>
      </w:pPr>
      <w:r>
        <w:rPr>
          <w:rFonts w:hint="eastAsia"/>
          <w:color w:val="auto"/>
          <w:highlight w:val="none"/>
        </w:rPr>
        <w:t>4.2.1 网络安全等级保护测评要求由安全测评通用要求和安全测评扩展要求两部分组成。安全测评通用要求具体分为安全物理环境、安全通信网络、安全区域边界、安全计算环境、安全管理中心、安全管理制度、安全管理机构、安全管理人员、安全建设管理、安全运维管理等十个方面。安全测评扩展要求具体分为云计算安全扩展要求、移动互联安全扩展要求、物联网安全扩展要求、工业控制系统安全测评扩展要求等四个方面。在具体测评实施过程中根据不同的等级保护对象组成，选择安全测评通用要求以及合适的安全测评扩展要求进行测评。</w:t>
      </w:r>
    </w:p>
    <w:p w14:paraId="6C39221B">
      <w:pPr>
        <w:spacing w:line="360" w:lineRule="auto"/>
        <w:ind w:firstLine="424" w:firstLineChars="202"/>
        <w:rPr>
          <w:rFonts w:hint="default" w:eastAsia="宋体"/>
          <w:color w:val="auto"/>
          <w:highlight w:val="none"/>
          <w:lang w:val="en-US" w:eastAsia="zh-CN"/>
        </w:rPr>
      </w:pPr>
      <w:r>
        <w:rPr>
          <w:rFonts w:hint="eastAsia"/>
          <w:color w:val="auto"/>
          <w:highlight w:val="none"/>
        </w:rPr>
        <w:t>4.2.2 根据国家及电力行业监控系统安全防护评估规范，在系统网络安全等级保护测评的基础上，增加如下测评项：电力监控系统风险评估服务</w:t>
      </w:r>
      <w:r>
        <w:rPr>
          <w:rFonts w:hint="eastAsia"/>
          <w:color w:val="auto"/>
          <w:highlight w:val="none"/>
          <w:lang w:eastAsia="zh-CN"/>
        </w:rPr>
        <w:t>，</w:t>
      </w:r>
      <w:r>
        <w:rPr>
          <w:rFonts w:hint="eastAsia"/>
          <w:color w:val="auto"/>
          <w:highlight w:val="none"/>
          <w:lang w:val="en-US" w:eastAsia="zh-CN"/>
        </w:rPr>
        <w:t>内容包含：</w:t>
      </w:r>
    </w:p>
    <w:p w14:paraId="3C540B7E">
      <w:pPr>
        <w:spacing w:line="360" w:lineRule="auto"/>
        <w:ind w:firstLine="424" w:firstLineChars="202"/>
        <w:rPr>
          <w:color w:val="auto"/>
          <w:highlight w:val="none"/>
        </w:rPr>
      </w:pPr>
      <w:r>
        <w:rPr>
          <w:rFonts w:hint="eastAsia"/>
          <w:color w:val="auto"/>
          <w:highlight w:val="none"/>
        </w:rPr>
        <w:t>（1）技术要求：包括物理环境测评、网络系统测评、</w:t>
      </w:r>
      <w:r>
        <w:rPr>
          <w:color w:val="auto"/>
          <w:highlight w:val="none"/>
        </w:rPr>
        <w:t>主机</w:t>
      </w:r>
      <w:r>
        <w:rPr>
          <w:rFonts w:hint="eastAsia"/>
          <w:color w:val="auto"/>
          <w:highlight w:val="none"/>
        </w:rPr>
        <w:t>安全</w:t>
      </w:r>
      <w:r>
        <w:rPr>
          <w:color w:val="auto"/>
          <w:highlight w:val="none"/>
        </w:rPr>
        <w:t>测评</w:t>
      </w:r>
      <w:r>
        <w:rPr>
          <w:rFonts w:hint="eastAsia"/>
          <w:color w:val="auto"/>
          <w:highlight w:val="none"/>
        </w:rPr>
        <w:t>、</w:t>
      </w:r>
      <w:r>
        <w:rPr>
          <w:color w:val="auto"/>
          <w:highlight w:val="none"/>
        </w:rPr>
        <w:t>应用</w:t>
      </w:r>
      <w:r>
        <w:rPr>
          <w:rFonts w:hint="eastAsia"/>
          <w:color w:val="auto"/>
          <w:highlight w:val="none"/>
        </w:rPr>
        <w:t>安全</w:t>
      </w:r>
      <w:r>
        <w:rPr>
          <w:color w:val="auto"/>
          <w:highlight w:val="none"/>
        </w:rPr>
        <w:t>测评</w:t>
      </w:r>
      <w:r>
        <w:rPr>
          <w:rFonts w:hint="eastAsia"/>
          <w:color w:val="auto"/>
          <w:highlight w:val="none"/>
        </w:rPr>
        <w:t>。物理环境测评主要包括位置、访问控制、防盗窃防破坏、防雷击、防火、防水和防潮、防静电、温湿度控制、电磁防护等内容。网络系统测评主要包括网络架构、网络访问控制、网络安全审计、边界完整性检查、网络入侵防范、网络恶意代码防范、网络设备防护等内容。</w:t>
      </w:r>
      <w:r>
        <w:rPr>
          <w:color w:val="auto"/>
          <w:highlight w:val="none"/>
        </w:rPr>
        <w:t>主机</w:t>
      </w:r>
      <w:r>
        <w:rPr>
          <w:rFonts w:hint="eastAsia"/>
          <w:color w:val="auto"/>
          <w:highlight w:val="none"/>
        </w:rPr>
        <w:t>安全</w:t>
      </w:r>
      <w:r>
        <w:rPr>
          <w:color w:val="auto"/>
          <w:highlight w:val="none"/>
        </w:rPr>
        <w:t>测评</w:t>
      </w:r>
      <w:r>
        <w:rPr>
          <w:rFonts w:hint="eastAsia"/>
          <w:color w:val="auto"/>
          <w:highlight w:val="none"/>
        </w:rPr>
        <w:t>主要包括</w:t>
      </w:r>
      <w:r>
        <w:rPr>
          <w:color w:val="auto"/>
          <w:highlight w:val="none"/>
        </w:rPr>
        <w:t>身份鉴别、访问控制、安全审计、剩余信息保护、入侵防范、恶意代码防范、资源控制等内容。应用</w:t>
      </w:r>
      <w:r>
        <w:rPr>
          <w:rFonts w:hint="eastAsia"/>
          <w:color w:val="auto"/>
          <w:highlight w:val="none"/>
        </w:rPr>
        <w:t>安全</w:t>
      </w:r>
      <w:r>
        <w:rPr>
          <w:color w:val="auto"/>
          <w:highlight w:val="none"/>
        </w:rPr>
        <w:t>测评</w:t>
      </w:r>
      <w:r>
        <w:rPr>
          <w:rFonts w:hint="eastAsia"/>
          <w:color w:val="auto"/>
          <w:highlight w:val="none"/>
        </w:rPr>
        <w:t>主要</w:t>
      </w:r>
      <w:r>
        <w:rPr>
          <w:color w:val="auto"/>
          <w:highlight w:val="none"/>
        </w:rPr>
        <w:t>包括应用系统身份鉴别、应用系统访问控制、应用系统安全审计、剩余信息保护、通信完整性、通信保密性、抗抵赖、软件容错、资源控制等内容。数据及备份恢复测评</w:t>
      </w:r>
      <w:r>
        <w:rPr>
          <w:rFonts w:hint="eastAsia"/>
          <w:color w:val="auto"/>
          <w:highlight w:val="none"/>
        </w:rPr>
        <w:t>主要</w:t>
      </w:r>
      <w:r>
        <w:rPr>
          <w:color w:val="auto"/>
          <w:highlight w:val="none"/>
        </w:rPr>
        <w:t>包括数据完整性、数据保密性、备份和恢复等内容。</w:t>
      </w:r>
    </w:p>
    <w:p w14:paraId="616583FF">
      <w:pPr>
        <w:spacing w:line="360" w:lineRule="auto"/>
        <w:ind w:firstLine="424" w:firstLineChars="202"/>
        <w:rPr>
          <w:color w:val="auto"/>
          <w:highlight w:val="none"/>
        </w:rPr>
      </w:pPr>
      <w:r>
        <w:rPr>
          <w:rFonts w:hint="eastAsia"/>
          <w:color w:val="auto"/>
          <w:highlight w:val="none"/>
        </w:rPr>
        <w:t>（2）管理要求：</w:t>
      </w:r>
      <w:r>
        <w:rPr>
          <w:color w:val="auto"/>
          <w:highlight w:val="none"/>
        </w:rPr>
        <w:t>涵盖安全管理制度、安全管理机构、人员安全管理、系统建设管理、系统运维管理等方面</w:t>
      </w:r>
      <w:r>
        <w:rPr>
          <w:rFonts w:hint="eastAsia"/>
          <w:color w:val="auto"/>
          <w:highlight w:val="none"/>
        </w:rPr>
        <w:t>。</w:t>
      </w:r>
      <w:r>
        <w:rPr>
          <w:color w:val="auto"/>
          <w:highlight w:val="none"/>
        </w:rPr>
        <w:t>安全管理制度主要包括管理制度、制定和发布、评审和修订。安全管理机构主要包括岗位设置、人员配备、授权和审批、沟通和合作、审核和检查。人员安全管理主要包括人员录用、人员离岗、人员考核、安全意识教育和培训、外部人员访问管理。系统建设管理主要包括系统定级、安全方案设计、产品采购和使用、自行软件开发、外部软件开发、工程实施、测试验收、系统交付、系统备案、等级测评、安全服务商选择。系统运维管理主要包括环境管理、资产管理、介质管理、设备管理、监控管理和安全管理中心、网络安全管理、系统安全管理、恶意代码防范管理、密码管理、变更管理、备份与恢复管理、安全事件处置、应急预案管理。</w:t>
      </w:r>
    </w:p>
    <w:p w14:paraId="3FDCB33B">
      <w:pPr>
        <w:spacing w:line="360" w:lineRule="auto"/>
        <w:rPr>
          <w:color w:val="auto"/>
          <w:highlight w:val="none"/>
        </w:rPr>
      </w:pPr>
      <w:r>
        <w:rPr>
          <w:rFonts w:hint="eastAsia"/>
          <w:color w:val="auto"/>
          <w:highlight w:val="none"/>
        </w:rPr>
        <w:t>4.3 服务内容</w:t>
      </w:r>
    </w:p>
    <w:p w14:paraId="69C9DE44">
      <w:pPr>
        <w:spacing w:line="360" w:lineRule="auto"/>
        <w:ind w:firstLine="424" w:firstLineChars="202"/>
        <w:rPr>
          <w:color w:val="auto"/>
          <w:highlight w:val="none"/>
        </w:rPr>
      </w:pPr>
      <w:r>
        <w:rPr>
          <w:rFonts w:hint="eastAsia"/>
          <w:color w:val="auto"/>
          <w:highlight w:val="none"/>
        </w:rPr>
        <w:t>4.3.1 信息系统备案。完成定级、备案材料的整理及在公安机关网安部门备案工作，并取得公安相关部门出具的信息系统安全等级保护备案证明。</w:t>
      </w:r>
    </w:p>
    <w:p w14:paraId="71412087">
      <w:pPr>
        <w:spacing w:line="360" w:lineRule="auto"/>
        <w:ind w:firstLine="424" w:firstLineChars="202"/>
        <w:rPr>
          <w:color w:val="auto"/>
          <w:highlight w:val="none"/>
        </w:rPr>
      </w:pPr>
      <w:r>
        <w:rPr>
          <w:rFonts w:hint="eastAsia"/>
          <w:color w:val="auto"/>
          <w:highlight w:val="none"/>
        </w:rPr>
        <w:t>4.3.2 初次测评。检查系统安全现状，从物理安全、网络安全、主机安全、应用安全、数据安全和安全管理等层面进行差距分析，对系统进行初次安全防护评估。通过对系统现状的分析和梳理，发现系统现有安全措施与等级保护基本要求的差距，提出安全整改建议，以指导后续安全整改工作。</w:t>
      </w:r>
    </w:p>
    <w:p w14:paraId="5859EC91">
      <w:pPr>
        <w:spacing w:line="360" w:lineRule="auto"/>
        <w:ind w:firstLine="424" w:firstLineChars="202"/>
        <w:rPr>
          <w:color w:val="auto"/>
          <w:highlight w:val="none"/>
        </w:rPr>
      </w:pPr>
      <w:r>
        <w:rPr>
          <w:rFonts w:hint="eastAsia"/>
          <w:color w:val="auto"/>
          <w:highlight w:val="none"/>
        </w:rPr>
        <w:t xml:space="preserve">4.3.3 </w:t>
      </w:r>
      <w:r>
        <w:rPr>
          <w:rFonts w:hint="eastAsia"/>
          <w:color w:val="auto"/>
          <w:highlight w:val="none"/>
          <w:lang w:val="en-US" w:eastAsia="zh-CN"/>
        </w:rPr>
        <w:t>电力调度数据专网、</w:t>
      </w:r>
      <w:r>
        <w:rPr>
          <w:color w:val="auto"/>
          <w:highlight w:val="none"/>
        </w:rPr>
        <w:t>DCS系统</w:t>
      </w:r>
      <w:r>
        <w:rPr>
          <w:rFonts w:hint="eastAsia"/>
          <w:color w:val="auto"/>
          <w:highlight w:val="none"/>
        </w:rPr>
        <w:t>网络</w:t>
      </w:r>
      <w:r>
        <w:rPr>
          <w:color w:val="auto"/>
          <w:highlight w:val="none"/>
        </w:rPr>
        <w:t>等保整改方案及建议。制定安全管理制度、落实安全责任，建议安全技术设施，落实安全技术措施。通过安全建设整改，确保</w:t>
      </w:r>
      <w:r>
        <w:rPr>
          <w:rFonts w:hint="eastAsia"/>
          <w:color w:val="auto"/>
          <w:highlight w:val="none"/>
          <w:lang w:eastAsia="zh"/>
          <w:woUserID w:val="1"/>
        </w:rPr>
        <w:t>电力调度数据专网、</w:t>
      </w:r>
      <w:r>
        <w:rPr>
          <w:color w:val="auto"/>
          <w:highlight w:val="none"/>
        </w:rPr>
        <w:t>DCS</w:t>
      </w:r>
      <w:r>
        <w:rPr>
          <w:rFonts w:hint="eastAsia"/>
          <w:color w:val="auto"/>
          <w:highlight w:val="none"/>
        </w:rPr>
        <w:t>系统</w:t>
      </w:r>
      <w:r>
        <w:rPr>
          <w:color w:val="auto"/>
          <w:highlight w:val="none"/>
        </w:rPr>
        <w:t>通过</w:t>
      </w:r>
      <w:r>
        <w:rPr>
          <w:rFonts w:hint="eastAsia"/>
          <w:color w:val="auto"/>
          <w:highlight w:val="none"/>
        </w:rPr>
        <w:t>三</w:t>
      </w:r>
      <w:r>
        <w:rPr>
          <w:color w:val="auto"/>
          <w:highlight w:val="none"/>
        </w:rPr>
        <w:t>级</w:t>
      </w:r>
      <w:r>
        <w:rPr>
          <w:rFonts w:hint="eastAsia"/>
          <w:color w:val="auto"/>
          <w:highlight w:val="none"/>
          <w:lang w:val="en-US" w:eastAsia="zh-CN"/>
        </w:rPr>
        <w:t>网络</w:t>
      </w:r>
      <w:r>
        <w:rPr>
          <w:color w:val="auto"/>
          <w:highlight w:val="none"/>
        </w:rPr>
        <w:t>安全等级评测。</w:t>
      </w:r>
    </w:p>
    <w:p w14:paraId="720F224E">
      <w:pPr>
        <w:spacing w:line="360" w:lineRule="auto"/>
        <w:ind w:firstLine="424" w:firstLineChars="202"/>
        <w:rPr>
          <w:color w:val="auto"/>
          <w:highlight w:val="none"/>
        </w:rPr>
      </w:pPr>
      <w:r>
        <w:rPr>
          <w:rFonts w:hint="eastAsia"/>
          <w:color w:val="auto"/>
          <w:highlight w:val="none"/>
        </w:rPr>
        <w:t xml:space="preserve">4.3.4 </w:t>
      </w:r>
      <w:r>
        <w:rPr>
          <w:color w:val="auto"/>
          <w:highlight w:val="none"/>
        </w:rPr>
        <w:t>二次测评。对整改后的系统及网络再次实施等级测评，提出安全整改建议，协助</w:t>
      </w:r>
      <w:r>
        <w:rPr>
          <w:rFonts w:hint="eastAsia"/>
          <w:color w:val="auto"/>
          <w:highlight w:val="none"/>
          <w:lang w:eastAsia="zh-CN"/>
        </w:rPr>
        <w:t>采购人</w:t>
      </w:r>
      <w:r>
        <w:rPr>
          <w:color w:val="auto"/>
          <w:highlight w:val="none"/>
        </w:rPr>
        <w:t>完成整改工作</w:t>
      </w:r>
      <w:r>
        <w:rPr>
          <w:rFonts w:hint="eastAsia"/>
          <w:color w:val="auto"/>
          <w:highlight w:val="none"/>
        </w:rPr>
        <w:t>。</w:t>
      </w:r>
    </w:p>
    <w:p w14:paraId="639E3C23">
      <w:pPr>
        <w:spacing w:line="360" w:lineRule="auto"/>
        <w:ind w:firstLine="424" w:firstLineChars="202"/>
        <w:rPr>
          <w:color w:val="auto"/>
          <w:highlight w:val="none"/>
        </w:rPr>
      </w:pPr>
      <w:r>
        <w:rPr>
          <w:rFonts w:hint="eastAsia"/>
          <w:color w:val="auto"/>
          <w:highlight w:val="none"/>
        </w:rPr>
        <w:t>4.3.5 对测评结果记录进行分类统计、风险计算、综合分析与评估，</w:t>
      </w:r>
      <w:r>
        <w:rPr>
          <w:rFonts w:hint="eastAsia"/>
          <w:color w:val="auto"/>
          <w:highlight w:val="none"/>
        </w:rPr>
        <w:t>编写《等级测评报告》</w:t>
      </w:r>
      <w:r>
        <w:rPr>
          <w:rFonts w:hint="eastAsia"/>
          <w:color w:val="auto"/>
          <w:highlight w:val="none"/>
          <w:lang w:val="en-US" w:eastAsia="zh-CN"/>
        </w:rPr>
        <w:t>及《风险评估报告》</w:t>
      </w:r>
      <w:r>
        <w:rPr>
          <w:color w:val="auto"/>
          <w:highlight w:val="none"/>
        </w:rPr>
        <w:t>。</w:t>
      </w:r>
    </w:p>
    <w:p w14:paraId="72931F24">
      <w:pPr>
        <w:spacing w:line="360" w:lineRule="auto"/>
        <w:ind w:firstLine="424" w:firstLineChars="202"/>
        <w:rPr>
          <w:color w:val="auto"/>
          <w:highlight w:val="none"/>
        </w:rPr>
      </w:pPr>
      <w:r>
        <w:rPr>
          <w:rFonts w:hint="eastAsia"/>
          <w:color w:val="auto"/>
          <w:highlight w:val="none"/>
        </w:rPr>
        <w:t xml:space="preserve">4.3.6 </w:t>
      </w:r>
      <w:r>
        <w:rPr>
          <w:color w:val="auto"/>
          <w:highlight w:val="none"/>
        </w:rPr>
        <w:t>咨询服务。提供信息系统的安全咨询和整改建议等技术支持服务，涵盖系统建设、运维、管理、技术等相关安全问题；协助开展单位内部网络与信息安全检查工作。</w:t>
      </w:r>
    </w:p>
    <w:p w14:paraId="2E1D68B9">
      <w:pPr>
        <w:spacing w:line="360" w:lineRule="auto"/>
        <w:ind w:firstLine="424" w:firstLineChars="202"/>
        <w:rPr>
          <w:color w:val="auto"/>
          <w:highlight w:val="none"/>
        </w:rPr>
      </w:pPr>
      <w:r>
        <w:rPr>
          <w:rFonts w:hint="eastAsia"/>
          <w:color w:val="auto"/>
          <w:highlight w:val="none"/>
        </w:rPr>
        <w:t xml:space="preserve">4.3.7 </w:t>
      </w:r>
      <w:r>
        <w:rPr>
          <w:color w:val="auto"/>
          <w:highlight w:val="none"/>
        </w:rPr>
        <w:t>安全意识和技能培训。针对技术人员、管理层提供不同类型的信息安全培训，包括管理培训和网络安全技术培训。</w:t>
      </w:r>
    </w:p>
    <w:p w14:paraId="660727D2">
      <w:pPr>
        <w:numPr>
          <w:ilvl w:val="0"/>
          <w:numId w:val="2"/>
        </w:numPr>
        <w:spacing w:before="234" w:beforeLines="75" w:line="360" w:lineRule="auto"/>
        <w:ind w:firstLine="420"/>
        <w:outlineLvl w:val="0"/>
        <w:rPr>
          <w:color w:val="auto"/>
          <w:sz w:val="24"/>
          <w:szCs w:val="24"/>
          <w:highlight w:val="none"/>
        </w:rPr>
      </w:pPr>
      <w:bookmarkStart w:id="33" w:name="_Toc24792"/>
      <w:r>
        <w:rPr>
          <w:rFonts w:hint="eastAsia"/>
          <w:color w:val="auto"/>
          <w:sz w:val="24"/>
          <w:szCs w:val="24"/>
          <w:highlight w:val="none"/>
        </w:rPr>
        <w:t>技术要求</w:t>
      </w:r>
      <w:bookmarkEnd w:id="33"/>
    </w:p>
    <w:p w14:paraId="6E5005BF">
      <w:pPr>
        <w:spacing w:line="360" w:lineRule="auto"/>
        <w:rPr>
          <w:color w:val="auto"/>
          <w:highlight w:val="none"/>
        </w:rPr>
      </w:pPr>
      <w:r>
        <w:rPr>
          <w:rFonts w:hint="eastAsia"/>
          <w:color w:val="auto"/>
          <w:highlight w:val="none"/>
        </w:rPr>
        <w:t>5.1 人员配置要求</w:t>
      </w:r>
    </w:p>
    <w:p w14:paraId="41EBD373">
      <w:pPr>
        <w:spacing w:line="360" w:lineRule="auto"/>
        <w:ind w:firstLine="420" w:firstLineChars="200"/>
        <w:rPr>
          <w:color w:val="auto"/>
          <w:highlight w:val="none"/>
        </w:rPr>
      </w:pPr>
      <w:r>
        <w:rPr>
          <w:rFonts w:hint="eastAsia"/>
          <w:color w:val="auto"/>
          <w:highlight w:val="none"/>
        </w:rPr>
        <w:t>为本项目的顺利、有序实施和质量保证，为本项目配置项目负责人、项目经理、质量主管和一定数量的系统测评工程师人、渗透工程师，具体如下：</w:t>
      </w:r>
    </w:p>
    <w:p w14:paraId="2D344F66">
      <w:pPr>
        <w:spacing w:line="360" w:lineRule="auto"/>
        <w:ind w:firstLine="424" w:firstLineChars="202"/>
        <w:rPr>
          <w:color w:val="auto"/>
          <w:highlight w:val="none"/>
        </w:rPr>
      </w:pPr>
      <w:r>
        <w:rPr>
          <w:rFonts w:hint="eastAsia"/>
          <w:color w:val="auto"/>
          <w:highlight w:val="none"/>
        </w:rPr>
        <w:t>5.1.1 项目经理是本项目的总协调人，负责领导、指挥、协调项目负责人、测评实施员等开展测评工作，负责项目人员安排，制定项目计划，对整个项目的质量、进度进行把控，负责项目总协调工作。项目经理应具有信息（或网络）安全等级测评师（中级及以上）证书，除此之外还应具有包含但不限于：COBIT信息系统审计认证证书</w:t>
      </w:r>
      <w:r>
        <w:rPr>
          <w:rFonts w:hint="eastAsia"/>
          <w:color w:val="auto"/>
          <w:highlight w:val="none"/>
          <w:lang w:val="en-US" w:eastAsia="zh-CN"/>
        </w:rPr>
        <w:t>或</w:t>
      </w:r>
      <w:r>
        <w:rPr>
          <w:rFonts w:hint="eastAsia" w:ascii="宋体" w:hAnsi="宋体"/>
          <w:color w:val="auto"/>
          <w:sz w:val="22"/>
          <w:szCs w:val="22"/>
          <w:highlight w:val="none"/>
        </w:rPr>
        <w:t>网络架构设计与安全运维证书（高级）</w:t>
      </w:r>
      <w:r>
        <w:rPr>
          <w:rFonts w:hint="eastAsia"/>
          <w:color w:val="auto"/>
          <w:highlight w:val="none"/>
        </w:rPr>
        <w:t>、重要信息系统保护人员CIIP-A(可信计算）证书</w:t>
      </w:r>
      <w:r>
        <w:rPr>
          <w:rFonts w:hint="eastAsia"/>
          <w:color w:val="auto"/>
          <w:highlight w:val="none"/>
          <w:lang w:val="en-US" w:eastAsia="zh-CN"/>
        </w:rPr>
        <w:t>或</w:t>
      </w:r>
      <w:r>
        <w:rPr>
          <w:rFonts w:hint="eastAsia"/>
          <w:color w:val="auto"/>
          <w:sz w:val="22"/>
          <w:szCs w:val="22"/>
          <w:highlight w:val="none"/>
        </w:rPr>
        <w:t>信息安全保障人员认证证书(CISAW)(风险管理)</w:t>
      </w:r>
      <w:r>
        <w:rPr>
          <w:rFonts w:hint="eastAsia"/>
          <w:color w:val="auto"/>
          <w:highlight w:val="none"/>
        </w:rPr>
        <w:t>、注册密码安全专业人员（NSATP-CSP)证书等安全服务能力证书</w:t>
      </w:r>
      <w:r>
        <w:rPr>
          <w:rFonts w:hint="eastAsia"/>
          <w:color w:val="auto"/>
          <w:highlight w:val="none"/>
          <w:lang w:val="en-US" w:eastAsia="zh-CN"/>
        </w:rPr>
        <w:t>或</w:t>
      </w:r>
      <w:r>
        <w:rPr>
          <w:rFonts w:hint="eastAsia" w:ascii="宋体" w:hAnsi="宋体"/>
          <w:color w:val="auto"/>
          <w:sz w:val="22"/>
          <w:szCs w:val="22"/>
          <w:highlight w:val="none"/>
        </w:rPr>
        <w:t>N</w:t>
      </w:r>
      <w:r>
        <w:rPr>
          <w:rFonts w:ascii="宋体" w:hAnsi="宋体"/>
          <w:color w:val="auto"/>
          <w:sz w:val="22"/>
          <w:szCs w:val="22"/>
          <w:highlight w:val="none"/>
        </w:rPr>
        <w:t>SATP-A</w:t>
      </w:r>
      <w:r>
        <w:rPr>
          <w:rFonts w:hint="eastAsia" w:ascii="宋体" w:hAnsi="宋体"/>
          <w:color w:val="auto"/>
          <w:sz w:val="22"/>
          <w:szCs w:val="22"/>
          <w:highlight w:val="none"/>
        </w:rPr>
        <w:t>国家网络安全应用检测专业测评人员证书</w:t>
      </w:r>
      <w:r>
        <w:rPr>
          <w:rFonts w:hint="eastAsia"/>
          <w:color w:val="auto"/>
          <w:highlight w:val="none"/>
        </w:rPr>
        <w:t>。（</w:t>
      </w:r>
      <w:r>
        <w:rPr>
          <w:rFonts w:hint="eastAsia"/>
          <w:color w:val="auto"/>
          <w:highlight w:val="none"/>
          <w:lang w:eastAsia="zh-CN"/>
        </w:rPr>
        <w:t>响应人</w:t>
      </w:r>
      <w:r>
        <w:rPr>
          <w:rFonts w:hint="eastAsia"/>
          <w:color w:val="auto"/>
          <w:highlight w:val="none"/>
        </w:rPr>
        <w:t>提供承诺函，承诺合同签订时需提供证书复印件并加盖单位公章）</w:t>
      </w:r>
    </w:p>
    <w:p w14:paraId="6791C7B6">
      <w:pPr>
        <w:spacing w:line="360" w:lineRule="auto"/>
        <w:ind w:firstLine="424" w:firstLineChars="202"/>
        <w:rPr>
          <w:color w:val="auto"/>
          <w:highlight w:val="none"/>
        </w:rPr>
      </w:pPr>
      <w:r>
        <w:rPr>
          <w:rFonts w:hint="eastAsia"/>
          <w:color w:val="auto"/>
          <w:highlight w:val="none"/>
        </w:rPr>
        <w:t>5.1.2 项目负责人是具体系统现场测评工作的现场负责人，负责组织、协调现场测评实施员开展具体的测试工作，制定具体系统的测评进度计划，负责具体系统的现场测评交流、沟通和组织协调，向</w:t>
      </w:r>
      <w:r>
        <w:rPr>
          <w:rFonts w:hint="eastAsia"/>
          <w:color w:val="auto"/>
          <w:highlight w:val="none"/>
          <w:lang w:eastAsia="zh-CN"/>
        </w:rPr>
        <w:t>采购人</w:t>
      </w:r>
      <w:r>
        <w:rPr>
          <w:rFonts w:hint="eastAsia"/>
          <w:color w:val="auto"/>
          <w:highlight w:val="none"/>
        </w:rPr>
        <w:t>汇报系统测评进度。项目负责人应具有信息（或网络）安全等级测评师（中级及以上）证书，除此之外还应具有包含但不限于：CCSC网络安全能力认证（网络安全管理2级）等安全服务能力证书。</w:t>
      </w:r>
      <w:r>
        <w:rPr>
          <w:rFonts w:hint="eastAsia"/>
          <w:color w:val="auto"/>
          <w:highlight w:val="none"/>
          <w:lang w:eastAsia="zh-CN"/>
        </w:rPr>
        <w:t>响应人</w:t>
      </w:r>
      <w:r>
        <w:rPr>
          <w:rFonts w:hint="eastAsia"/>
          <w:color w:val="auto"/>
          <w:highlight w:val="none"/>
        </w:rPr>
        <w:t>提供承诺函，承诺合同签订时需提供证书复印件并加盖单位公章）。</w:t>
      </w:r>
    </w:p>
    <w:p w14:paraId="6477C33C">
      <w:pPr>
        <w:pStyle w:val="2"/>
        <w:ind w:firstLine="424" w:firstLineChars="202"/>
        <w:rPr>
          <w:rFonts w:eastAsia="宋体"/>
          <w:color w:val="auto"/>
          <w:sz w:val="21"/>
          <w:szCs w:val="22"/>
          <w:highlight w:val="none"/>
        </w:rPr>
      </w:pPr>
      <w:r>
        <w:rPr>
          <w:rFonts w:hint="eastAsia" w:eastAsia="宋体"/>
          <w:color w:val="auto"/>
          <w:sz w:val="21"/>
          <w:szCs w:val="22"/>
          <w:highlight w:val="none"/>
        </w:rPr>
        <w:t>5.1.3质量主管对项目实施全过程的质量监控，动态监控质量体系执行情况，对违反质量管理规范的情况提出改进或否决意见，及时出具质量监控报告或意见。质量主管应具有信息（或网络）安全等级测评师（</w:t>
      </w:r>
      <w:r>
        <w:rPr>
          <w:rFonts w:hint="eastAsia" w:eastAsia="宋体"/>
          <w:color w:val="auto"/>
          <w:sz w:val="21"/>
          <w:szCs w:val="22"/>
          <w:highlight w:val="none"/>
          <w:lang w:val="en-US" w:eastAsia="zh-CN"/>
        </w:rPr>
        <w:t>中</w:t>
      </w:r>
      <w:r>
        <w:rPr>
          <w:rFonts w:hint="eastAsia" w:eastAsia="宋体"/>
          <w:color w:val="auto"/>
          <w:sz w:val="21"/>
          <w:szCs w:val="22"/>
          <w:highlight w:val="none"/>
        </w:rPr>
        <w:t>级及以上）证书，除此之外还应具有包含但不限于：高级软件测评工程师证书</w:t>
      </w:r>
      <w:r>
        <w:rPr>
          <w:rFonts w:hint="eastAsia" w:eastAsia="宋体"/>
          <w:color w:val="auto"/>
          <w:sz w:val="21"/>
          <w:szCs w:val="22"/>
          <w:highlight w:val="none"/>
          <w:lang w:val="en-US" w:eastAsia="zh-CN"/>
        </w:rPr>
        <w:t>或</w:t>
      </w:r>
      <w:r>
        <w:rPr>
          <w:rFonts w:hint="eastAsia" w:eastAsia="宋体"/>
          <w:color w:val="auto"/>
          <w:sz w:val="21"/>
          <w:szCs w:val="22"/>
          <w:highlight w:val="none"/>
        </w:rPr>
        <w:t>网络架构设计与安全运维证书（高级</w:t>
      </w:r>
      <w:r>
        <w:rPr>
          <w:rFonts w:hint="eastAsia" w:eastAsia="宋体"/>
          <w:color w:val="auto"/>
          <w:sz w:val="21"/>
          <w:szCs w:val="22"/>
          <w:highlight w:val="none"/>
          <w:lang w:eastAsia="zh-CN"/>
        </w:rPr>
        <w:t>）</w:t>
      </w:r>
      <w:r>
        <w:rPr>
          <w:rFonts w:hint="eastAsia" w:eastAsia="宋体"/>
          <w:color w:val="auto"/>
          <w:sz w:val="21"/>
          <w:szCs w:val="22"/>
          <w:highlight w:val="none"/>
        </w:rPr>
        <w:t>等安全服务能力证书。（</w:t>
      </w:r>
      <w:r>
        <w:rPr>
          <w:rFonts w:hint="eastAsia" w:eastAsia="宋体"/>
          <w:color w:val="auto"/>
          <w:sz w:val="21"/>
          <w:szCs w:val="22"/>
          <w:highlight w:val="none"/>
          <w:lang w:eastAsia="zh-CN"/>
        </w:rPr>
        <w:t>响应人</w:t>
      </w:r>
      <w:r>
        <w:rPr>
          <w:rFonts w:hint="eastAsia" w:eastAsia="宋体"/>
          <w:color w:val="auto"/>
          <w:sz w:val="21"/>
          <w:szCs w:val="22"/>
          <w:highlight w:val="none"/>
        </w:rPr>
        <w:t>提供承诺函，承诺合同签订时需提供证书复印件并加盖单位公章）。</w:t>
      </w:r>
    </w:p>
    <w:p w14:paraId="6023CE43">
      <w:pPr>
        <w:spacing w:line="360" w:lineRule="auto"/>
        <w:ind w:firstLine="424" w:firstLineChars="202"/>
        <w:rPr>
          <w:rFonts w:hint="eastAsia"/>
          <w:color w:val="auto"/>
          <w:highlight w:val="none"/>
        </w:rPr>
      </w:pPr>
      <w:r>
        <w:rPr>
          <w:rFonts w:hint="eastAsia"/>
          <w:color w:val="auto"/>
          <w:highlight w:val="none"/>
        </w:rPr>
        <w:t>5.1.4 测评实施人员、渗透工程师在项目经理和项目负责人的领导下展开具体的系统测评工作。测评实施人员</w:t>
      </w:r>
      <w:r>
        <w:rPr>
          <w:rFonts w:hint="eastAsia"/>
          <w:color w:val="auto"/>
          <w:highlight w:val="none"/>
          <w:lang w:val="en-US" w:eastAsia="zh-CN"/>
        </w:rPr>
        <w:t>应</w:t>
      </w:r>
      <w:r>
        <w:rPr>
          <w:rFonts w:hint="eastAsia" w:hAnsi="宋体" w:cs="宋体"/>
          <w:color w:val="auto"/>
          <w:szCs w:val="21"/>
          <w:highlight w:val="none"/>
        </w:rPr>
        <w:t>具有信息（或网络）安全等级测评师（中级）证书</w:t>
      </w:r>
      <w:r>
        <w:rPr>
          <w:rFonts w:hint="eastAsia" w:hAnsi="宋体" w:cs="宋体"/>
          <w:color w:val="auto"/>
          <w:szCs w:val="21"/>
          <w:highlight w:val="none"/>
          <w:lang w:eastAsia="zh-CN"/>
        </w:rPr>
        <w:t>，</w:t>
      </w:r>
      <w:r>
        <w:rPr>
          <w:rFonts w:hint="eastAsia" w:eastAsia="宋体"/>
          <w:color w:val="auto"/>
          <w:sz w:val="21"/>
          <w:szCs w:val="22"/>
          <w:highlight w:val="none"/>
        </w:rPr>
        <w:t>除此之外还应具有包含但不限于：</w:t>
      </w:r>
      <w:r>
        <w:rPr>
          <w:rFonts w:hint="eastAsia" w:hAnsi="宋体" w:cs="宋体"/>
          <w:color w:val="auto"/>
          <w:szCs w:val="21"/>
          <w:highlight w:val="none"/>
        </w:rPr>
        <w:t>CCSS-M网络安全服务能力评价证书（安全管理能力认证）</w:t>
      </w:r>
      <w:r>
        <w:rPr>
          <w:rFonts w:hint="eastAsia" w:hAnsi="宋体" w:cs="宋体"/>
          <w:color w:val="auto"/>
          <w:szCs w:val="21"/>
          <w:highlight w:val="none"/>
          <w:lang w:val="en-US" w:eastAsia="zh-CN"/>
        </w:rPr>
        <w:t>或</w:t>
      </w:r>
      <w:r>
        <w:rPr>
          <w:rFonts w:hint="eastAsia" w:eastAsia="宋体"/>
          <w:color w:val="auto"/>
          <w:sz w:val="21"/>
          <w:szCs w:val="22"/>
          <w:highlight w:val="none"/>
        </w:rPr>
        <w:t>信息安全保障人员认证证书(CISAW)</w:t>
      </w:r>
      <w:r>
        <w:rPr>
          <w:rFonts w:hint="eastAsia" w:hAnsi="宋体" w:cs="宋体"/>
          <w:color w:val="auto"/>
          <w:szCs w:val="21"/>
          <w:highlight w:val="none"/>
          <w:lang w:eastAsia="zh-CN"/>
        </w:rPr>
        <w:t>。</w:t>
      </w:r>
      <w:r>
        <w:rPr>
          <w:rFonts w:hint="eastAsia"/>
          <w:color w:val="auto"/>
          <w:highlight w:val="none"/>
        </w:rPr>
        <w:t>项目渗透测试人员应具有信息（或网络）安全等级测评师（</w:t>
      </w:r>
      <w:r>
        <w:rPr>
          <w:rFonts w:hint="eastAsia"/>
          <w:color w:val="auto"/>
          <w:highlight w:val="none"/>
          <w:lang w:val="en-US" w:eastAsia="zh-CN"/>
        </w:rPr>
        <w:t>初</w:t>
      </w:r>
      <w:r>
        <w:rPr>
          <w:rFonts w:hint="eastAsia"/>
          <w:color w:val="auto"/>
          <w:highlight w:val="none"/>
        </w:rPr>
        <w:t>级及以上）证书，除此之外还应具有包含但不限于：信息技术应用创新考试评价证书（数据库工程师）</w:t>
      </w:r>
      <w:r>
        <w:rPr>
          <w:rFonts w:hint="eastAsia"/>
          <w:color w:val="auto"/>
          <w:highlight w:val="none"/>
          <w:lang w:val="en-US" w:eastAsia="zh-CN"/>
        </w:rPr>
        <w:t>或</w:t>
      </w:r>
      <w:r>
        <w:rPr>
          <w:rFonts w:hint="eastAsia" w:ascii="宋体" w:hAnsi="宋体"/>
          <w:color w:val="auto"/>
          <w:sz w:val="22"/>
          <w:szCs w:val="22"/>
          <w:highlight w:val="none"/>
        </w:rPr>
        <w:t>信息技术应用创新考试评价证书（</w:t>
      </w:r>
      <w:r>
        <w:rPr>
          <w:rFonts w:hint="eastAsia" w:ascii="宋体" w:hAnsi="宋体" w:cs="宋体"/>
          <w:color w:val="auto"/>
          <w:kern w:val="2"/>
          <w:sz w:val="20"/>
          <w:szCs w:val="20"/>
          <w:highlight w:val="none"/>
          <w:lang w:val="en-US" w:eastAsia="zh-CN"/>
        </w:rPr>
        <w:t>系统架构师高级证</w:t>
      </w:r>
      <w:r>
        <w:rPr>
          <w:rFonts w:hint="eastAsia" w:ascii="宋体" w:hAnsi="宋体"/>
          <w:color w:val="auto"/>
          <w:sz w:val="22"/>
          <w:szCs w:val="22"/>
          <w:highlight w:val="none"/>
        </w:rPr>
        <w:t>）</w:t>
      </w:r>
      <w:r>
        <w:rPr>
          <w:rFonts w:hint="eastAsia"/>
          <w:color w:val="auto"/>
          <w:highlight w:val="none"/>
        </w:rPr>
        <w:t>、CCSS-R网络安全服务能力评价证书（应急响应能力认证）</w:t>
      </w:r>
      <w:r>
        <w:rPr>
          <w:rFonts w:hint="eastAsia"/>
          <w:color w:val="auto"/>
          <w:highlight w:val="none"/>
          <w:lang w:val="en-US" w:eastAsia="zh-CN"/>
        </w:rPr>
        <w:t>或</w:t>
      </w:r>
      <w:r>
        <w:rPr>
          <w:rFonts w:hint="eastAsia" w:ascii="宋体" w:hAnsi="宋体"/>
          <w:color w:val="auto"/>
          <w:sz w:val="22"/>
          <w:szCs w:val="22"/>
          <w:highlight w:val="none"/>
        </w:rPr>
        <w:t>信息系统项目管理师（高级）证书</w:t>
      </w:r>
      <w:r>
        <w:rPr>
          <w:rFonts w:hint="eastAsia"/>
          <w:color w:val="auto"/>
          <w:highlight w:val="none"/>
        </w:rPr>
        <w:t>等安全服务能力证书。</w:t>
      </w:r>
    </w:p>
    <w:p w14:paraId="4EE74057">
      <w:pPr>
        <w:pStyle w:val="2"/>
        <w:rPr>
          <w:rFonts w:hint="eastAsia" w:eastAsia="黑体"/>
          <w:color w:val="auto"/>
          <w:highlight w:val="none"/>
          <w:lang w:val="en-US" w:eastAsia="zh-CN"/>
        </w:rPr>
      </w:pPr>
      <w:r>
        <w:rPr>
          <w:rFonts w:hint="eastAsia"/>
          <w:color w:val="auto"/>
          <w:highlight w:val="none"/>
          <w:lang w:val="en-US" w:eastAsia="zh-CN"/>
        </w:rPr>
        <w:t>人员配置表（响应人填写）</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470"/>
        <w:gridCol w:w="1350"/>
        <w:gridCol w:w="5590"/>
      </w:tblGrid>
      <w:tr w14:paraId="2D7C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6A0566F0">
            <w:pPr>
              <w:pStyle w:val="2"/>
              <w:rPr>
                <w:rFonts w:hint="eastAsia" w:eastAsia="黑体"/>
                <w:color w:val="auto"/>
                <w:highlight w:val="none"/>
                <w:vertAlign w:val="baseline"/>
                <w:lang w:val="en-US" w:eastAsia="zh-CN"/>
              </w:rPr>
            </w:pPr>
            <w:r>
              <w:rPr>
                <w:rFonts w:hint="eastAsia"/>
                <w:color w:val="auto"/>
                <w:highlight w:val="none"/>
                <w:vertAlign w:val="baseline"/>
                <w:lang w:val="en-US" w:eastAsia="zh-CN"/>
              </w:rPr>
              <w:t>序号</w:t>
            </w:r>
          </w:p>
        </w:tc>
        <w:tc>
          <w:tcPr>
            <w:tcW w:w="1470" w:type="dxa"/>
          </w:tcPr>
          <w:p w14:paraId="5E844AE5">
            <w:pPr>
              <w:pStyle w:val="2"/>
              <w:rPr>
                <w:rFonts w:hint="eastAsia" w:eastAsia="黑体"/>
                <w:color w:val="auto"/>
                <w:highlight w:val="none"/>
                <w:vertAlign w:val="baseline"/>
                <w:lang w:val="en-US" w:eastAsia="zh-CN"/>
              </w:rPr>
            </w:pPr>
            <w:r>
              <w:rPr>
                <w:rFonts w:hint="eastAsia"/>
                <w:color w:val="auto"/>
                <w:highlight w:val="none"/>
                <w:vertAlign w:val="baseline"/>
                <w:lang w:val="en-US" w:eastAsia="zh-CN"/>
              </w:rPr>
              <w:t>岗位</w:t>
            </w:r>
          </w:p>
        </w:tc>
        <w:tc>
          <w:tcPr>
            <w:tcW w:w="1350" w:type="dxa"/>
          </w:tcPr>
          <w:p w14:paraId="00613846">
            <w:pPr>
              <w:pStyle w:val="2"/>
              <w:rPr>
                <w:rFonts w:hint="eastAsia" w:eastAsia="黑体"/>
                <w:color w:val="auto"/>
                <w:highlight w:val="none"/>
                <w:vertAlign w:val="baseline"/>
                <w:lang w:val="en-US" w:eastAsia="zh-CN"/>
              </w:rPr>
            </w:pPr>
            <w:r>
              <w:rPr>
                <w:rFonts w:hint="eastAsia"/>
                <w:color w:val="auto"/>
                <w:highlight w:val="none"/>
                <w:vertAlign w:val="baseline"/>
                <w:lang w:val="en-US" w:eastAsia="zh-CN"/>
              </w:rPr>
              <w:t>姓名</w:t>
            </w:r>
          </w:p>
        </w:tc>
        <w:tc>
          <w:tcPr>
            <w:tcW w:w="5590" w:type="dxa"/>
          </w:tcPr>
          <w:p w14:paraId="0433E89F">
            <w:pPr>
              <w:pStyle w:val="2"/>
              <w:rPr>
                <w:rFonts w:hint="eastAsia" w:eastAsia="黑体"/>
                <w:color w:val="auto"/>
                <w:highlight w:val="none"/>
                <w:vertAlign w:val="baseline"/>
                <w:lang w:val="en-US" w:eastAsia="zh-CN"/>
              </w:rPr>
            </w:pPr>
            <w:r>
              <w:rPr>
                <w:rFonts w:hint="eastAsia"/>
                <w:color w:val="auto"/>
                <w:highlight w:val="none"/>
                <w:vertAlign w:val="baseline"/>
                <w:lang w:val="en-US" w:eastAsia="zh-CN"/>
              </w:rPr>
              <w:t>具备资质</w:t>
            </w:r>
          </w:p>
        </w:tc>
      </w:tr>
      <w:tr w14:paraId="0652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5962CF9B">
            <w:pPr>
              <w:pStyle w:val="2"/>
              <w:rPr>
                <w:rFonts w:hint="default" w:eastAsia="黑体"/>
                <w:color w:val="auto"/>
                <w:highlight w:val="none"/>
                <w:vertAlign w:val="baseline"/>
                <w:lang w:val="en-US" w:eastAsia="zh-CN"/>
              </w:rPr>
            </w:pPr>
            <w:r>
              <w:rPr>
                <w:rFonts w:hint="eastAsia"/>
                <w:color w:val="auto"/>
                <w:highlight w:val="none"/>
                <w:vertAlign w:val="baseline"/>
                <w:lang w:val="en-US" w:eastAsia="zh-CN"/>
              </w:rPr>
              <w:t>1</w:t>
            </w:r>
          </w:p>
        </w:tc>
        <w:tc>
          <w:tcPr>
            <w:tcW w:w="1470" w:type="dxa"/>
          </w:tcPr>
          <w:p w14:paraId="4B2AFB29">
            <w:pPr>
              <w:pStyle w:val="2"/>
              <w:rPr>
                <w:rFonts w:hint="eastAsia"/>
                <w:color w:val="auto"/>
                <w:highlight w:val="none"/>
                <w:vertAlign w:val="baseline"/>
              </w:rPr>
            </w:pPr>
          </w:p>
        </w:tc>
        <w:tc>
          <w:tcPr>
            <w:tcW w:w="1350" w:type="dxa"/>
          </w:tcPr>
          <w:p w14:paraId="3CDB71F5">
            <w:pPr>
              <w:pStyle w:val="2"/>
              <w:rPr>
                <w:rFonts w:hint="eastAsia"/>
                <w:color w:val="auto"/>
                <w:highlight w:val="none"/>
                <w:vertAlign w:val="baseline"/>
              </w:rPr>
            </w:pPr>
          </w:p>
        </w:tc>
        <w:tc>
          <w:tcPr>
            <w:tcW w:w="5590" w:type="dxa"/>
          </w:tcPr>
          <w:p w14:paraId="1CFE0E23">
            <w:pPr>
              <w:pStyle w:val="2"/>
              <w:rPr>
                <w:rFonts w:hint="eastAsia"/>
                <w:color w:val="auto"/>
                <w:highlight w:val="none"/>
                <w:vertAlign w:val="baseline"/>
              </w:rPr>
            </w:pPr>
          </w:p>
        </w:tc>
      </w:tr>
      <w:tr w14:paraId="55A5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1B28879A">
            <w:pPr>
              <w:pStyle w:val="2"/>
              <w:rPr>
                <w:rFonts w:hint="eastAsia" w:eastAsia="黑体"/>
                <w:color w:val="auto"/>
                <w:highlight w:val="none"/>
                <w:vertAlign w:val="baseline"/>
                <w:lang w:val="en-US" w:eastAsia="zh-CN"/>
              </w:rPr>
            </w:pPr>
            <w:r>
              <w:rPr>
                <w:rFonts w:hint="eastAsia"/>
                <w:color w:val="auto"/>
                <w:highlight w:val="none"/>
                <w:vertAlign w:val="baseline"/>
                <w:lang w:val="en-US" w:eastAsia="zh-CN"/>
              </w:rPr>
              <w:t>2</w:t>
            </w:r>
          </w:p>
        </w:tc>
        <w:tc>
          <w:tcPr>
            <w:tcW w:w="1470" w:type="dxa"/>
          </w:tcPr>
          <w:p w14:paraId="55A276F0">
            <w:pPr>
              <w:pStyle w:val="2"/>
              <w:rPr>
                <w:rFonts w:hint="eastAsia"/>
                <w:color w:val="auto"/>
                <w:highlight w:val="none"/>
                <w:vertAlign w:val="baseline"/>
              </w:rPr>
            </w:pPr>
          </w:p>
        </w:tc>
        <w:tc>
          <w:tcPr>
            <w:tcW w:w="1350" w:type="dxa"/>
          </w:tcPr>
          <w:p w14:paraId="42505440">
            <w:pPr>
              <w:pStyle w:val="2"/>
              <w:rPr>
                <w:rFonts w:hint="eastAsia"/>
                <w:color w:val="auto"/>
                <w:highlight w:val="none"/>
                <w:vertAlign w:val="baseline"/>
              </w:rPr>
            </w:pPr>
          </w:p>
        </w:tc>
        <w:tc>
          <w:tcPr>
            <w:tcW w:w="5590" w:type="dxa"/>
          </w:tcPr>
          <w:p w14:paraId="0AD4012A">
            <w:pPr>
              <w:pStyle w:val="2"/>
              <w:rPr>
                <w:rFonts w:hint="eastAsia"/>
                <w:color w:val="auto"/>
                <w:highlight w:val="none"/>
                <w:vertAlign w:val="baseline"/>
              </w:rPr>
            </w:pPr>
          </w:p>
        </w:tc>
      </w:tr>
      <w:tr w14:paraId="6EFE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1380D67D">
            <w:pPr>
              <w:pStyle w:val="2"/>
              <w:rPr>
                <w:rFonts w:hint="default" w:eastAsia="黑体"/>
                <w:color w:val="auto"/>
                <w:highlight w:val="none"/>
                <w:vertAlign w:val="baseline"/>
                <w:lang w:val="en-US" w:eastAsia="zh-CN"/>
              </w:rPr>
            </w:pPr>
            <w:r>
              <w:rPr>
                <w:rFonts w:hint="eastAsia"/>
                <w:color w:val="auto"/>
                <w:highlight w:val="none"/>
                <w:vertAlign w:val="baseline"/>
                <w:lang w:val="en-US" w:eastAsia="zh-CN"/>
              </w:rPr>
              <w:t>...</w:t>
            </w:r>
          </w:p>
        </w:tc>
        <w:tc>
          <w:tcPr>
            <w:tcW w:w="1470" w:type="dxa"/>
          </w:tcPr>
          <w:p w14:paraId="54C9F3B0">
            <w:pPr>
              <w:pStyle w:val="2"/>
              <w:rPr>
                <w:rFonts w:hint="default" w:eastAsia="黑体"/>
                <w:color w:val="auto"/>
                <w:highlight w:val="none"/>
                <w:vertAlign w:val="baseline"/>
                <w:lang w:val="en-US" w:eastAsia="zh-CN"/>
              </w:rPr>
            </w:pPr>
            <w:r>
              <w:rPr>
                <w:rFonts w:hint="eastAsia"/>
                <w:color w:val="auto"/>
                <w:highlight w:val="none"/>
                <w:vertAlign w:val="baseline"/>
                <w:lang w:val="en-US" w:eastAsia="zh-CN"/>
              </w:rPr>
              <w:t>...</w:t>
            </w:r>
          </w:p>
        </w:tc>
        <w:tc>
          <w:tcPr>
            <w:tcW w:w="1350" w:type="dxa"/>
          </w:tcPr>
          <w:p w14:paraId="6E4FF270">
            <w:pPr>
              <w:pStyle w:val="2"/>
              <w:rPr>
                <w:rFonts w:hint="default" w:eastAsia="黑体"/>
                <w:color w:val="auto"/>
                <w:highlight w:val="none"/>
                <w:vertAlign w:val="baseline"/>
                <w:lang w:val="en-US" w:eastAsia="zh-CN"/>
              </w:rPr>
            </w:pPr>
            <w:r>
              <w:rPr>
                <w:rFonts w:hint="eastAsia"/>
                <w:color w:val="auto"/>
                <w:highlight w:val="none"/>
                <w:vertAlign w:val="baseline"/>
                <w:lang w:val="en-US" w:eastAsia="zh-CN"/>
              </w:rPr>
              <w:t>...</w:t>
            </w:r>
          </w:p>
        </w:tc>
        <w:tc>
          <w:tcPr>
            <w:tcW w:w="5590" w:type="dxa"/>
          </w:tcPr>
          <w:p w14:paraId="6EE06622">
            <w:pPr>
              <w:pStyle w:val="2"/>
              <w:rPr>
                <w:rFonts w:hint="default" w:eastAsia="黑体"/>
                <w:color w:val="auto"/>
                <w:highlight w:val="none"/>
                <w:vertAlign w:val="baseline"/>
                <w:lang w:val="en-US" w:eastAsia="zh-CN"/>
              </w:rPr>
            </w:pPr>
            <w:r>
              <w:rPr>
                <w:rFonts w:hint="eastAsia"/>
                <w:color w:val="auto"/>
                <w:highlight w:val="none"/>
                <w:vertAlign w:val="baseline"/>
                <w:lang w:val="en-US" w:eastAsia="zh-CN"/>
              </w:rPr>
              <w:t>...</w:t>
            </w:r>
          </w:p>
        </w:tc>
      </w:tr>
    </w:tbl>
    <w:p w14:paraId="6B81B38D">
      <w:pPr>
        <w:pStyle w:val="2"/>
        <w:rPr>
          <w:rFonts w:hint="eastAsia"/>
          <w:color w:val="auto"/>
          <w:highlight w:val="none"/>
        </w:rPr>
      </w:pPr>
    </w:p>
    <w:p w14:paraId="554E2F3A">
      <w:pPr>
        <w:spacing w:line="360" w:lineRule="auto"/>
        <w:rPr>
          <w:color w:val="auto"/>
          <w:highlight w:val="none"/>
        </w:rPr>
      </w:pPr>
      <w:r>
        <w:rPr>
          <w:rFonts w:hint="eastAsia"/>
          <w:color w:val="auto"/>
          <w:highlight w:val="none"/>
        </w:rPr>
        <w:t>5.2 管理要求</w:t>
      </w:r>
    </w:p>
    <w:p w14:paraId="6B6D953C">
      <w:pPr>
        <w:spacing w:line="360" w:lineRule="auto"/>
        <w:ind w:firstLine="424" w:firstLineChars="202"/>
        <w:rPr>
          <w:color w:val="auto"/>
          <w:highlight w:val="none"/>
        </w:rPr>
      </w:pPr>
      <w:r>
        <w:rPr>
          <w:rFonts w:hint="eastAsia"/>
          <w:color w:val="auto"/>
          <w:highlight w:val="none"/>
        </w:rPr>
        <w:t>5.2.1</w:t>
      </w:r>
      <w:r>
        <w:rPr>
          <w:rFonts w:hint="eastAsia"/>
          <w:color w:val="auto"/>
          <w:highlight w:val="none"/>
          <w:lang w:eastAsia="zh-CN"/>
        </w:rPr>
        <w:t>响应人</w:t>
      </w:r>
      <w:r>
        <w:rPr>
          <w:rFonts w:hint="eastAsia"/>
          <w:color w:val="auto"/>
          <w:highlight w:val="none"/>
        </w:rPr>
        <w:t>必须提供完整的项目管理方案，</w:t>
      </w:r>
      <w:r>
        <w:rPr>
          <w:rFonts w:hint="eastAsia"/>
          <w:color w:val="auto"/>
          <w:highlight w:val="none"/>
          <w:lang w:eastAsia="zh-CN"/>
        </w:rPr>
        <w:t>响应人</w:t>
      </w:r>
      <w:r>
        <w:rPr>
          <w:rFonts w:hint="eastAsia"/>
          <w:color w:val="auto"/>
          <w:highlight w:val="none"/>
        </w:rPr>
        <w:t>需要针对本次项目管理服务要求进行承诺，未提供项目管理服务承诺为无效。</w:t>
      </w:r>
    </w:p>
    <w:p w14:paraId="20F9A533">
      <w:pPr>
        <w:spacing w:line="360" w:lineRule="auto"/>
        <w:ind w:firstLine="424" w:firstLineChars="202"/>
        <w:rPr>
          <w:color w:val="auto"/>
          <w:highlight w:val="none"/>
        </w:rPr>
      </w:pPr>
      <w:r>
        <w:rPr>
          <w:rFonts w:hint="eastAsia"/>
          <w:color w:val="auto"/>
          <w:highlight w:val="none"/>
        </w:rPr>
        <w:t>5.2.2</w:t>
      </w:r>
      <w:r>
        <w:rPr>
          <w:rFonts w:hint="eastAsia"/>
          <w:color w:val="auto"/>
          <w:highlight w:val="none"/>
          <w:lang w:eastAsia="zh-CN"/>
        </w:rPr>
        <w:t>响应人</w:t>
      </w:r>
      <w:r>
        <w:rPr>
          <w:rFonts w:hint="eastAsia"/>
          <w:color w:val="auto"/>
          <w:highlight w:val="none"/>
        </w:rPr>
        <w:t>及其测评人员应当严格执行有关国家信息安全等级保护相关标准和有关规定，提供客观、公平、公正、有效的等级保护测评服务，并承担相应的法律责任；</w:t>
      </w:r>
    </w:p>
    <w:p w14:paraId="7F558A35">
      <w:pPr>
        <w:spacing w:line="360" w:lineRule="auto"/>
        <w:ind w:firstLine="424" w:firstLineChars="202"/>
        <w:rPr>
          <w:color w:val="auto"/>
          <w:highlight w:val="none"/>
        </w:rPr>
      </w:pPr>
      <w:r>
        <w:rPr>
          <w:rFonts w:hint="eastAsia"/>
          <w:color w:val="auto"/>
          <w:highlight w:val="none"/>
        </w:rPr>
        <w:t>5.2.3</w:t>
      </w:r>
      <w:r>
        <w:rPr>
          <w:rFonts w:hint="eastAsia"/>
          <w:color w:val="auto"/>
          <w:highlight w:val="none"/>
          <w:lang w:eastAsia="zh-CN"/>
        </w:rPr>
        <w:t>响应人</w:t>
      </w:r>
      <w:r>
        <w:rPr>
          <w:rFonts w:hint="eastAsia"/>
          <w:color w:val="auto"/>
          <w:highlight w:val="none"/>
        </w:rPr>
        <w:t>在开展等级保护测评服务之前需与</w:t>
      </w:r>
      <w:r>
        <w:rPr>
          <w:rFonts w:hint="eastAsia"/>
          <w:color w:val="auto"/>
          <w:highlight w:val="none"/>
          <w:lang w:eastAsia="zh-CN"/>
        </w:rPr>
        <w:t>采购人</w:t>
      </w:r>
      <w:r>
        <w:rPr>
          <w:rFonts w:hint="eastAsia"/>
          <w:color w:val="auto"/>
          <w:highlight w:val="none"/>
        </w:rPr>
        <w:t>签订保密协议，测评过程中向</w:t>
      </w:r>
      <w:r>
        <w:rPr>
          <w:rFonts w:hint="eastAsia"/>
          <w:color w:val="auto"/>
          <w:highlight w:val="none"/>
          <w:lang w:eastAsia="zh-CN"/>
        </w:rPr>
        <w:t>采购人</w:t>
      </w:r>
      <w:r>
        <w:rPr>
          <w:rFonts w:hint="eastAsia"/>
          <w:color w:val="auto"/>
          <w:highlight w:val="none"/>
        </w:rPr>
        <w:t>借阅的文档资料应在测评工作结束后全部归还，未经</w:t>
      </w:r>
      <w:r>
        <w:rPr>
          <w:rFonts w:hint="eastAsia"/>
          <w:color w:val="auto"/>
          <w:highlight w:val="none"/>
          <w:lang w:eastAsia="zh-CN"/>
        </w:rPr>
        <w:t>采购人</w:t>
      </w:r>
      <w:r>
        <w:rPr>
          <w:rFonts w:hint="eastAsia"/>
          <w:color w:val="auto"/>
          <w:highlight w:val="none"/>
        </w:rPr>
        <w:t>允许，不得擅自复制、保留；</w:t>
      </w:r>
    </w:p>
    <w:p w14:paraId="573D2F8C">
      <w:pPr>
        <w:spacing w:line="360" w:lineRule="auto"/>
        <w:ind w:firstLine="424" w:firstLineChars="202"/>
        <w:rPr>
          <w:color w:val="auto"/>
          <w:highlight w:val="none"/>
        </w:rPr>
      </w:pPr>
      <w:r>
        <w:rPr>
          <w:rFonts w:hint="eastAsia"/>
          <w:color w:val="auto"/>
          <w:highlight w:val="none"/>
        </w:rPr>
        <w:t>5.2.4 岗位配置要至少配置项目负责人、测评师、项目经理、渗透工程师、质量主管等并明确各个岗位的相关职。</w:t>
      </w:r>
    </w:p>
    <w:bookmarkEnd w:id="26"/>
    <w:bookmarkEnd w:id="27"/>
    <w:bookmarkEnd w:id="28"/>
    <w:p w14:paraId="6E966CA0">
      <w:pPr>
        <w:spacing w:line="360" w:lineRule="auto"/>
        <w:rPr>
          <w:color w:val="auto"/>
          <w:highlight w:val="none"/>
        </w:rPr>
      </w:pPr>
      <w:r>
        <w:rPr>
          <w:rFonts w:hint="eastAsia"/>
          <w:color w:val="auto"/>
          <w:highlight w:val="none"/>
        </w:rPr>
        <w:t>5.3 测评工具要求</w:t>
      </w:r>
    </w:p>
    <w:p w14:paraId="16B34A8A">
      <w:pPr>
        <w:spacing w:line="360" w:lineRule="auto"/>
        <w:ind w:firstLine="424" w:firstLineChars="202"/>
        <w:rPr>
          <w:color w:val="auto"/>
          <w:highlight w:val="none"/>
        </w:rPr>
      </w:pPr>
      <w:r>
        <w:rPr>
          <w:rFonts w:hint="eastAsia"/>
          <w:color w:val="auto"/>
          <w:highlight w:val="none"/>
        </w:rPr>
        <w:t>5.3.1 采用的测评工具必须获得正版授权，并在有效期内，不得使用盗版软件；</w:t>
      </w:r>
    </w:p>
    <w:p w14:paraId="23293B4A">
      <w:pPr>
        <w:spacing w:line="360" w:lineRule="auto"/>
        <w:ind w:firstLine="424" w:firstLineChars="202"/>
        <w:rPr>
          <w:color w:val="auto"/>
          <w:highlight w:val="none"/>
        </w:rPr>
      </w:pPr>
      <w:r>
        <w:rPr>
          <w:rFonts w:hint="eastAsia"/>
          <w:color w:val="auto"/>
          <w:highlight w:val="none"/>
        </w:rPr>
        <w:t>5.3.2 采用的测评工具在功能、性能等满足使用要求前提下，应优先采用具有国内自主知识产权的同类产品；</w:t>
      </w:r>
    </w:p>
    <w:p w14:paraId="099394D2">
      <w:pPr>
        <w:spacing w:line="360" w:lineRule="auto"/>
        <w:ind w:firstLine="424" w:firstLineChars="202"/>
        <w:rPr>
          <w:color w:val="auto"/>
          <w:highlight w:val="none"/>
        </w:rPr>
      </w:pPr>
      <w:r>
        <w:rPr>
          <w:rFonts w:hint="eastAsia"/>
          <w:color w:val="auto"/>
          <w:highlight w:val="none"/>
        </w:rPr>
        <w:t>5.3.3 采用的测评工具的生产商应为正规厂商，能够对产品进行持续更新并提供质量和安全保障；</w:t>
      </w:r>
    </w:p>
    <w:p w14:paraId="05EFF813">
      <w:pPr>
        <w:spacing w:line="360" w:lineRule="auto"/>
        <w:ind w:firstLine="424" w:firstLineChars="202"/>
        <w:rPr>
          <w:color w:val="auto"/>
          <w:highlight w:val="none"/>
        </w:rPr>
      </w:pPr>
      <w:r>
        <w:rPr>
          <w:rFonts w:hint="eastAsia"/>
          <w:color w:val="auto"/>
          <w:highlight w:val="none"/>
        </w:rPr>
        <w:t>5.3.4 测评机构所使用的测评工具不会对单位系统产生破坏或负面影响。</w:t>
      </w:r>
    </w:p>
    <w:p w14:paraId="51555CFD">
      <w:pPr>
        <w:numPr>
          <w:ilvl w:val="0"/>
          <w:numId w:val="2"/>
        </w:numPr>
        <w:spacing w:before="234" w:beforeLines="75" w:line="360" w:lineRule="auto"/>
        <w:ind w:firstLine="420"/>
        <w:outlineLvl w:val="0"/>
        <w:rPr>
          <w:color w:val="auto"/>
          <w:sz w:val="24"/>
          <w:szCs w:val="24"/>
          <w:highlight w:val="none"/>
        </w:rPr>
      </w:pPr>
      <w:bookmarkStart w:id="34" w:name="_Toc13222"/>
      <w:r>
        <w:rPr>
          <w:rFonts w:hint="eastAsia"/>
          <w:color w:val="auto"/>
          <w:sz w:val="24"/>
          <w:szCs w:val="24"/>
          <w:highlight w:val="none"/>
        </w:rPr>
        <w:t>服务时间</w:t>
      </w:r>
      <w:bookmarkEnd w:id="29"/>
      <w:bookmarkEnd w:id="30"/>
      <w:bookmarkEnd w:id="31"/>
      <w:bookmarkEnd w:id="32"/>
      <w:bookmarkEnd w:id="34"/>
    </w:p>
    <w:p w14:paraId="626697B9">
      <w:pPr>
        <w:spacing w:line="360" w:lineRule="auto"/>
        <w:ind w:firstLine="420" w:firstLineChars="200"/>
        <w:rPr>
          <w:color w:val="auto"/>
          <w:highlight w:val="none"/>
        </w:rPr>
      </w:pPr>
      <w:r>
        <w:rPr>
          <w:rFonts w:hint="eastAsia" w:ascii="宋体" w:hAnsi="宋体" w:cs="宋体"/>
          <w:color w:val="auto"/>
          <w:highlight w:val="none"/>
        </w:rPr>
        <w:t>本服务计划于合同签订之日开始，至202</w:t>
      </w:r>
      <w:r>
        <w:rPr>
          <w:rFonts w:hint="eastAsia" w:ascii="宋体" w:hAnsi="宋体" w:cs="宋体"/>
          <w:color w:val="auto"/>
          <w:highlight w:val="none"/>
          <w:lang w:val="en-US" w:eastAsia="zh-CN"/>
        </w:rPr>
        <w:t>6</w:t>
      </w:r>
      <w:r>
        <w:rPr>
          <w:rFonts w:hint="eastAsia" w:ascii="宋体" w:hAnsi="宋体" w:cs="宋体"/>
          <w:color w:val="auto"/>
          <w:highlight w:val="none"/>
        </w:rPr>
        <w:t>年12月31日结束</w:t>
      </w:r>
      <w:r>
        <w:rPr>
          <w:rFonts w:hint="eastAsia"/>
          <w:color w:val="auto"/>
          <w:highlight w:val="none"/>
        </w:rPr>
        <w:t>。</w:t>
      </w:r>
    </w:p>
    <w:p w14:paraId="4B629D1F">
      <w:pPr>
        <w:numPr>
          <w:ilvl w:val="0"/>
          <w:numId w:val="2"/>
        </w:numPr>
        <w:spacing w:before="234" w:beforeLines="75" w:line="360" w:lineRule="auto"/>
        <w:ind w:firstLine="420"/>
        <w:outlineLvl w:val="0"/>
        <w:rPr>
          <w:color w:val="auto"/>
          <w:sz w:val="24"/>
          <w:szCs w:val="24"/>
          <w:highlight w:val="none"/>
        </w:rPr>
      </w:pPr>
      <w:bookmarkStart w:id="35" w:name="_Toc459361981"/>
      <w:bookmarkStart w:id="36" w:name="_Toc19076"/>
      <w:bookmarkStart w:id="37" w:name="_Toc30025"/>
      <w:bookmarkStart w:id="38" w:name="_Toc29205"/>
      <w:r>
        <w:rPr>
          <w:rFonts w:hint="eastAsia"/>
          <w:color w:val="auto"/>
          <w:sz w:val="24"/>
          <w:szCs w:val="24"/>
          <w:highlight w:val="none"/>
        </w:rPr>
        <w:t>项目验收</w:t>
      </w:r>
      <w:bookmarkEnd w:id="35"/>
      <w:bookmarkEnd w:id="36"/>
      <w:bookmarkEnd w:id="37"/>
      <w:bookmarkEnd w:id="38"/>
    </w:p>
    <w:p w14:paraId="30D59A25">
      <w:pPr>
        <w:spacing w:line="360" w:lineRule="auto"/>
        <w:ind w:firstLine="424" w:firstLineChars="202"/>
        <w:rPr>
          <w:color w:val="auto"/>
          <w:highlight w:val="none"/>
          <w:lang w:val="zh-CN"/>
        </w:rPr>
      </w:pPr>
      <w:bookmarkStart w:id="39" w:name="_Toc28769"/>
      <w:bookmarkStart w:id="40" w:name="_Toc459361982"/>
      <w:bookmarkStart w:id="41" w:name="_Toc8569"/>
      <w:r>
        <w:rPr>
          <w:rFonts w:hint="eastAsia"/>
          <w:color w:val="auto"/>
          <w:highlight w:val="none"/>
        </w:rPr>
        <w:t>7.1</w:t>
      </w:r>
      <w:r>
        <w:rPr>
          <w:rFonts w:hint="eastAsia"/>
          <w:color w:val="auto"/>
          <w:highlight w:val="none"/>
          <w:lang w:eastAsia="zh-CN"/>
        </w:rPr>
        <w:t>响应人</w:t>
      </w:r>
      <w:r>
        <w:rPr>
          <w:rFonts w:hint="eastAsia"/>
          <w:color w:val="auto"/>
          <w:highlight w:val="none"/>
          <w:lang w:val="zh-CN"/>
        </w:rPr>
        <w:t>应按相关的国家标准和行业规范要求，采用先进的技术措施和手段，完成项目内容，保证项目质量，确保成果真实可靠。</w:t>
      </w:r>
    </w:p>
    <w:p w14:paraId="583C8AD7">
      <w:pPr>
        <w:spacing w:line="360" w:lineRule="auto"/>
        <w:ind w:firstLine="424" w:firstLineChars="202"/>
        <w:rPr>
          <w:color w:val="auto"/>
          <w:highlight w:val="none"/>
          <w:lang w:val="zh-CN"/>
        </w:rPr>
      </w:pPr>
      <w:r>
        <w:rPr>
          <w:rFonts w:hint="eastAsia"/>
          <w:color w:val="auto"/>
          <w:highlight w:val="none"/>
        </w:rPr>
        <w:t>7.2</w:t>
      </w:r>
      <w:r>
        <w:rPr>
          <w:rFonts w:hint="eastAsia"/>
          <w:color w:val="auto"/>
          <w:highlight w:val="none"/>
          <w:lang w:eastAsia="zh-CN"/>
        </w:rPr>
        <w:t>响应人</w:t>
      </w:r>
      <w:r>
        <w:rPr>
          <w:rFonts w:hint="eastAsia"/>
          <w:color w:val="auto"/>
          <w:highlight w:val="none"/>
          <w:lang w:val="zh-CN"/>
        </w:rPr>
        <w:t>所提供的项目基础资料应完整、真实、可靠，成果报告文字简洁、表达准确，图像清晰无误，附件齐全。</w:t>
      </w:r>
    </w:p>
    <w:p w14:paraId="250A04F2">
      <w:pPr>
        <w:spacing w:line="360" w:lineRule="auto"/>
        <w:ind w:firstLine="424" w:firstLineChars="202"/>
        <w:rPr>
          <w:color w:val="auto"/>
          <w:highlight w:val="none"/>
        </w:rPr>
      </w:pPr>
      <w:r>
        <w:rPr>
          <w:rFonts w:hint="eastAsia"/>
          <w:color w:val="auto"/>
          <w:highlight w:val="none"/>
        </w:rPr>
        <w:t xml:space="preserve">7.3 </w:t>
      </w:r>
      <w:r>
        <w:rPr>
          <w:rFonts w:hint="eastAsia"/>
          <w:color w:val="auto"/>
          <w:highlight w:val="none"/>
          <w:lang w:val="zh-CN"/>
        </w:rPr>
        <w:t>本项目所有技术成果属于</w:t>
      </w:r>
      <w:r>
        <w:rPr>
          <w:rFonts w:hint="eastAsia"/>
          <w:color w:val="auto"/>
          <w:highlight w:val="none"/>
          <w:lang w:eastAsia="zh-CN"/>
        </w:rPr>
        <w:t>采购人</w:t>
      </w:r>
      <w:r>
        <w:rPr>
          <w:rFonts w:hint="eastAsia"/>
          <w:color w:val="auto"/>
          <w:highlight w:val="none"/>
          <w:lang w:val="zh-CN"/>
        </w:rPr>
        <w:t>所有。项目完成后，</w:t>
      </w:r>
      <w:r>
        <w:rPr>
          <w:rFonts w:hint="eastAsia"/>
          <w:color w:val="auto"/>
          <w:highlight w:val="none"/>
          <w:lang w:eastAsia="zh-CN"/>
        </w:rPr>
        <w:t>响应人</w:t>
      </w:r>
      <w:r>
        <w:rPr>
          <w:rFonts w:hint="eastAsia"/>
          <w:color w:val="auto"/>
          <w:highlight w:val="none"/>
          <w:lang w:val="zh-CN"/>
        </w:rPr>
        <w:t>按要求应将形成的过程资料、相关文件全部移交给</w:t>
      </w:r>
      <w:r>
        <w:rPr>
          <w:rFonts w:hint="eastAsia"/>
          <w:color w:val="auto"/>
          <w:highlight w:val="none"/>
          <w:lang w:eastAsia="zh-CN"/>
        </w:rPr>
        <w:t>采购人</w:t>
      </w:r>
      <w:r>
        <w:rPr>
          <w:rFonts w:hint="eastAsia"/>
          <w:color w:val="auto"/>
          <w:highlight w:val="none"/>
          <w:lang w:val="zh-CN"/>
        </w:rPr>
        <w:t>，</w:t>
      </w:r>
      <w:bookmarkEnd w:id="39"/>
      <w:bookmarkEnd w:id="40"/>
      <w:bookmarkEnd w:id="41"/>
      <w:r>
        <w:rPr>
          <w:rFonts w:hint="eastAsia"/>
          <w:color w:val="auto"/>
          <w:highlight w:val="none"/>
        </w:rPr>
        <w:t>相关文件应包含以下几项：</w:t>
      </w:r>
    </w:p>
    <w:p w14:paraId="44BB42A7">
      <w:pPr>
        <w:spacing w:line="360" w:lineRule="auto"/>
        <w:ind w:firstLine="424" w:firstLineChars="202"/>
        <w:rPr>
          <w:color w:val="auto"/>
          <w:highlight w:val="none"/>
        </w:rPr>
      </w:pPr>
      <w:r>
        <w:rPr>
          <w:rFonts w:hint="eastAsia"/>
          <w:color w:val="auto"/>
          <w:highlight w:val="none"/>
        </w:rPr>
        <w:t>（1）《网络安全等级保护测评方案》</w:t>
      </w:r>
      <w:r>
        <w:rPr>
          <w:rFonts w:hint="eastAsia"/>
          <w:color w:val="auto"/>
          <w:highlight w:val="none"/>
        </w:rPr>
        <w:tab/>
      </w:r>
    </w:p>
    <w:p w14:paraId="4434A7E8">
      <w:pPr>
        <w:spacing w:line="360" w:lineRule="auto"/>
        <w:ind w:firstLine="424" w:firstLineChars="202"/>
        <w:rPr>
          <w:color w:val="auto"/>
          <w:highlight w:val="none"/>
        </w:rPr>
      </w:pPr>
      <w:r>
        <w:rPr>
          <w:rFonts w:hint="eastAsia"/>
          <w:color w:val="auto"/>
          <w:highlight w:val="none"/>
        </w:rPr>
        <w:t>（2）《网络安全等级保护测评报告》（包含整改建议）</w:t>
      </w:r>
    </w:p>
    <w:p w14:paraId="22539326">
      <w:pPr>
        <w:spacing w:line="360" w:lineRule="auto"/>
        <w:ind w:firstLine="424" w:firstLineChars="202"/>
        <w:rPr>
          <w:color w:val="auto"/>
          <w:highlight w:val="none"/>
        </w:rPr>
      </w:pPr>
      <w:r>
        <w:rPr>
          <w:rFonts w:hint="eastAsia"/>
          <w:color w:val="auto"/>
          <w:highlight w:val="none"/>
        </w:rPr>
        <w:t>（3）《网络安全系统渗透报告》</w:t>
      </w:r>
    </w:p>
    <w:p w14:paraId="0D4B67B3">
      <w:pPr>
        <w:spacing w:line="360" w:lineRule="auto"/>
        <w:ind w:firstLine="424" w:firstLineChars="202"/>
        <w:rPr>
          <w:color w:val="auto"/>
          <w:highlight w:val="none"/>
        </w:rPr>
      </w:pPr>
      <w:r>
        <w:rPr>
          <w:rFonts w:hint="eastAsia"/>
          <w:color w:val="auto"/>
          <w:highlight w:val="none"/>
        </w:rPr>
        <w:t>（4）《电力监控系统风险评估报告》（包含整改建议）</w:t>
      </w:r>
    </w:p>
    <w:p w14:paraId="2A1F6BC3">
      <w:pPr>
        <w:spacing w:line="360" w:lineRule="auto"/>
        <w:ind w:firstLine="424" w:firstLineChars="202"/>
        <w:rPr>
          <w:color w:val="auto"/>
          <w:highlight w:val="none"/>
        </w:rPr>
      </w:pPr>
      <w:r>
        <w:rPr>
          <w:rFonts w:hint="eastAsia"/>
          <w:color w:val="auto"/>
          <w:highlight w:val="none"/>
        </w:rPr>
        <w:t>（5）其他未列入的应交资料</w:t>
      </w:r>
      <w:bookmarkStart w:id="42" w:name="_Toc11747"/>
      <w:bookmarkStart w:id="43" w:name="_Toc459361983"/>
      <w:bookmarkStart w:id="44" w:name="_Toc3521"/>
      <w:bookmarkStart w:id="45" w:name="_Toc458515006"/>
    </w:p>
    <w:p w14:paraId="765EEFDC">
      <w:pPr>
        <w:numPr>
          <w:ilvl w:val="0"/>
          <w:numId w:val="2"/>
        </w:numPr>
        <w:spacing w:before="234" w:beforeLines="75" w:line="360" w:lineRule="auto"/>
        <w:ind w:firstLine="420"/>
        <w:outlineLvl w:val="0"/>
        <w:rPr>
          <w:color w:val="auto"/>
          <w:sz w:val="24"/>
          <w:szCs w:val="24"/>
          <w:highlight w:val="none"/>
        </w:rPr>
      </w:pPr>
      <w:bookmarkStart w:id="46" w:name="_Toc7530"/>
      <w:r>
        <w:rPr>
          <w:rFonts w:hint="eastAsia"/>
          <w:color w:val="auto"/>
          <w:sz w:val="24"/>
          <w:szCs w:val="24"/>
          <w:highlight w:val="none"/>
        </w:rPr>
        <w:t>双方责任</w:t>
      </w:r>
      <w:bookmarkEnd w:id="42"/>
      <w:bookmarkEnd w:id="43"/>
      <w:bookmarkEnd w:id="44"/>
      <w:bookmarkEnd w:id="45"/>
      <w:bookmarkEnd w:id="46"/>
    </w:p>
    <w:p w14:paraId="4E60B28A">
      <w:pPr>
        <w:spacing w:line="360" w:lineRule="auto"/>
        <w:rPr>
          <w:color w:val="auto"/>
          <w:highlight w:val="none"/>
        </w:rPr>
      </w:pPr>
      <w:bookmarkStart w:id="47" w:name="_Toc459361984"/>
      <w:bookmarkStart w:id="48" w:name="_Toc13420"/>
      <w:bookmarkStart w:id="49" w:name="_Toc31059"/>
      <w:bookmarkStart w:id="50" w:name="_Toc458515008"/>
      <w:r>
        <w:rPr>
          <w:rFonts w:hint="eastAsia"/>
          <w:color w:val="auto"/>
          <w:highlight w:val="none"/>
        </w:rPr>
        <w:t>为切实保障本项目的工作质量，确保测评工作达到预期目标，对双方技术工作责任约定如下：</w:t>
      </w:r>
    </w:p>
    <w:p w14:paraId="392AB340">
      <w:pPr>
        <w:spacing w:line="360" w:lineRule="auto"/>
        <w:rPr>
          <w:color w:val="auto"/>
          <w:highlight w:val="none"/>
        </w:rPr>
      </w:pPr>
      <w:r>
        <w:rPr>
          <w:rFonts w:hint="eastAsia"/>
          <w:color w:val="auto"/>
          <w:highlight w:val="none"/>
        </w:rPr>
        <w:t xml:space="preserve">8.1 </w:t>
      </w:r>
      <w:r>
        <w:rPr>
          <w:rFonts w:hint="eastAsia"/>
          <w:color w:val="auto"/>
          <w:highlight w:val="none"/>
          <w:lang w:eastAsia="zh-CN"/>
        </w:rPr>
        <w:t>采购人</w:t>
      </w:r>
      <w:r>
        <w:rPr>
          <w:rFonts w:hint="eastAsia"/>
          <w:color w:val="auto"/>
          <w:highlight w:val="none"/>
        </w:rPr>
        <w:t>责任：</w:t>
      </w:r>
    </w:p>
    <w:p w14:paraId="7C57DC41">
      <w:pPr>
        <w:spacing w:line="360" w:lineRule="auto"/>
        <w:ind w:firstLine="424" w:firstLineChars="202"/>
        <w:rPr>
          <w:color w:val="auto"/>
          <w:highlight w:val="none"/>
        </w:rPr>
      </w:pPr>
      <w:r>
        <w:rPr>
          <w:rFonts w:hint="eastAsia"/>
          <w:color w:val="auto"/>
          <w:highlight w:val="none"/>
        </w:rPr>
        <w:t>8.1.1 负责测评过程中相关单位和部门的协调。</w:t>
      </w:r>
    </w:p>
    <w:p w14:paraId="1286D725">
      <w:pPr>
        <w:spacing w:line="360" w:lineRule="auto"/>
        <w:ind w:firstLine="424" w:firstLineChars="202"/>
        <w:rPr>
          <w:color w:val="auto"/>
          <w:highlight w:val="none"/>
        </w:rPr>
      </w:pPr>
      <w:r>
        <w:rPr>
          <w:rFonts w:hint="eastAsia"/>
          <w:color w:val="auto"/>
          <w:highlight w:val="none"/>
        </w:rPr>
        <w:t>8.1.2 为</w:t>
      </w:r>
      <w:r>
        <w:rPr>
          <w:rFonts w:hint="eastAsia"/>
          <w:color w:val="auto"/>
          <w:highlight w:val="none"/>
          <w:lang w:eastAsia="zh-CN"/>
        </w:rPr>
        <w:t>响应人</w:t>
      </w:r>
      <w:r>
        <w:rPr>
          <w:rFonts w:hint="eastAsia"/>
          <w:color w:val="auto"/>
          <w:highlight w:val="none"/>
        </w:rPr>
        <w:t>提供良好的工作场地和环境。</w:t>
      </w:r>
    </w:p>
    <w:p w14:paraId="71F769BE">
      <w:pPr>
        <w:spacing w:line="360" w:lineRule="auto"/>
        <w:ind w:firstLine="424" w:firstLineChars="202"/>
        <w:rPr>
          <w:color w:val="auto"/>
          <w:highlight w:val="none"/>
        </w:rPr>
      </w:pPr>
      <w:r>
        <w:rPr>
          <w:rFonts w:hint="eastAsia"/>
          <w:color w:val="auto"/>
          <w:highlight w:val="none"/>
        </w:rPr>
        <w:t>8.1.3 按工作要求提供相关的资料和信息。</w:t>
      </w:r>
    </w:p>
    <w:p w14:paraId="152C69AD">
      <w:pPr>
        <w:spacing w:line="360" w:lineRule="auto"/>
        <w:ind w:firstLine="424" w:firstLineChars="202"/>
        <w:rPr>
          <w:color w:val="auto"/>
          <w:highlight w:val="none"/>
        </w:rPr>
      </w:pPr>
      <w:r>
        <w:rPr>
          <w:rFonts w:hint="eastAsia"/>
          <w:color w:val="auto"/>
          <w:highlight w:val="none"/>
        </w:rPr>
        <w:t>8.1.4 准备应急措施，负责实施过程中的紧急情况的处理。</w:t>
      </w:r>
    </w:p>
    <w:p w14:paraId="4DCD4BCD">
      <w:pPr>
        <w:spacing w:line="360" w:lineRule="auto"/>
        <w:ind w:firstLine="424" w:firstLineChars="202"/>
        <w:rPr>
          <w:color w:val="auto"/>
          <w:highlight w:val="none"/>
        </w:rPr>
      </w:pPr>
      <w:r>
        <w:rPr>
          <w:rFonts w:hint="eastAsia"/>
          <w:color w:val="auto"/>
          <w:highlight w:val="none"/>
        </w:rPr>
        <w:t>8.1.5 明确专人全程配合</w:t>
      </w:r>
      <w:r>
        <w:rPr>
          <w:rFonts w:hint="eastAsia"/>
          <w:color w:val="auto"/>
          <w:highlight w:val="none"/>
          <w:lang w:eastAsia="zh-CN"/>
        </w:rPr>
        <w:t>响应人</w:t>
      </w:r>
      <w:r>
        <w:rPr>
          <w:rFonts w:hint="eastAsia"/>
          <w:color w:val="auto"/>
          <w:highlight w:val="none"/>
        </w:rPr>
        <w:t>开展现场测评。</w:t>
      </w:r>
    </w:p>
    <w:p w14:paraId="35D40582">
      <w:pPr>
        <w:spacing w:line="360" w:lineRule="auto"/>
        <w:rPr>
          <w:color w:val="auto"/>
          <w:highlight w:val="none"/>
        </w:rPr>
      </w:pPr>
      <w:r>
        <w:rPr>
          <w:rFonts w:hint="eastAsia"/>
          <w:color w:val="auto"/>
          <w:highlight w:val="none"/>
        </w:rPr>
        <w:t>8.2</w:t>
      </w:r>
      <w:r>
        <w:rPr>
          <w:rFonts w:hint="eastAsia"/>
          <w:color w:val="auto"/>
          <w:highlight w:val="none"/>
          <w:lang w:eastAsia="zh-CN"/>
        </w:rPr>
        <w:t>响应人</w:t>
      </w:r>
      <w:r>
        <w:rPr>
          <w:rFonts w:hint="eastAsia"/>
          <w:color w:val="auto"/>
          <w:highlight w:val="none"/>
        </w:rPr>
        <w:t>责任：</w:t>
      </w:r>
    </w:p>
    <w:p w14:paraId="24AE5A9E">
      <w:pPr>
        <w:spacing w:line="360" w:lineRule="auto"/>
        <w:ind w:firstLine="424" w:firstLineChars="202"/>
        <w:rPr>
          <w:color w:val="auto"/>
          <w:highlight w:val="none"/>
        </w:rPr>
      </w:pPr>
      <w:r>
        <w:rPr>
          <w:rFonts w:hint="eastAsia"/>
          <w:color w:val="auto"/>
          <w:highlight w:val="none"/>
        </w:rPr>
        <w:t>8.2.1</w:t>
      </w:r>
      <w:r>
        <w:rPr>
          <w:rFonts w:hint="eastAsia"/>
          <w:color w:val="auto"/>
          <w:highlight w:val="none"/>
        </w:rPr>
        <w:t xml:space="preserve"> 协助</w:t>
      </w:r>
      <w:r>
        <w:rPr>
          <w:rFonts w:hint="eastAsia"/>
          <w:color w:val="auto"/>
          <w:highlight w:val="none"/>
          <w:lang w:eastAsia="zh-CN"/>
        </w:rPr>
        <w:t>采购人</w:t>
      </w:r>
      <w:r>
        <w:rPr>
          <w:rFonts w:hint="eastAsia"/>
          <w:color w:val="auto"/>
          <w:highlight w:val="none"/>
        </w:rPr>
        <w:t>根据等保2.0要求完成定级备案、专家评审等工作，取得备案证明。</w:t>
      </w:r>
    </w:p>
    <w:p w14:paraId="6EEEC2A6">
      <w:pPr>
        <w:spacing w:line="360" w:lineRule="auto"/>
        <w:ind w:firstLine="424" w:firstLineChars="202"/>
        <w:rPr>
          <w:color w:val="auto"/>
          <w:highlight w:val="none"/>
        </w:rPr>
      </w:pPr>
      <w:r>
        <w:rPr>
          <w:rFonts w:hint="eastAsia"/>
          <w:color w:val="auto"/>
          <w:highlight w:val="none"/>
        </w:rPr>
        <w:t xml:space="preserve">8.2.2 </w:t>
      </w:r>
      <w:r>
        <w:rPr>
          <w:rFonts w:hint="eastAsia"/>
          <w:color w:val="auto"/>
          <w:highlight w:val="none"/>
        </w:rPr>
        <w:t>完成公安机关的项目登记流程，测评实施得到批准后才能实施。</w:t>
      </w:r>
    </w:p>
    <w:p w14:paraId="4C78B703">
      <w:pPr>
        <w:spacing w:line="360" w:lineRule="auto"/>
        <w:ind w:firstLine="424" w:firstLineChars="202"/>
        <w:rPr>
          <w:color w:val="auto"/>
          <w:highlight w:val="none"/>
        </w:rPr>
      </w:pPr>
      <w:r>
        <w:rPr>
          <w:rFonts w:hint="eastAsia"/>
          <w:color w:val="auto"/>
          <w:highlight w:val="none"/>
        </w:rPr>
        <w:t>8.2.3 按照测评方案开展工作。</w:t>
      </w:r>
    </w:p>
    <w:p w14:paraId="3FCD2268">
      <w:pPr>
        <w:spacing w:line="360" w:lineRule="auto"/>
        <w:ind w:firstLine="424" w:firstLineChars="202"/>
        <w:rPr>
          <w:color w:val="auto"/>
          <w:highlight w:val="none"/>
        </w:rPr>
      </w:pPr>
      <w:r>
        <w:rPr>
          <w:rFonts w:hint="eastAsia"/>
          <w:color w:val="auto"/>
          <w:highlight w:val="none"/>
        </w:rPr>
        <w:t>8.2.4 项目内容的变更及时与</w:t>
      </w:r>
      <w:r>
        <w:rPr>
          <w:rFonts w:hint="eastAsia"/>
          <w:color w:val="auto"/>
          <w:highlight w:val="none"/>
          <w:lang w:eastAsia="zh-CN"/>
        </w:rPr>
        <w:t>采购人</w:t>
      </w:r>
      <w:r>
        <w:rPr>
          <w:rFonts w:hint="eastAsia"/>
          <w:color w:val="auto"/>
          <w:highlight w:val="none"/>
        </w:rPr>
        <w:t>代表沟通。</w:t>
      </w:r>
    </w:p>
    <w:p w14:paraId="25BA41D3">
      <w:pPr>
        <w:spacing w:line="360" w:lineRule="auto"/>
        <w:ind w:firstLine="424" w:firstLineChars="202"/>
        <w:rPr>
          <w:color w:val="auto"/>
          <w:highlight w:val="none"/>
        </w:rPr>
      </w:pPr>
      <w:r>
        <w:rPr>
          <w:rFonts w:hint="eastAsia"/>
          <w:color w:val="auto"/>
          <w:highlight w:val="none"/>
        </w:rPr>
        <w:t>8.2.5 依据国家和行业相关标准开展测评（评估）工作，确保测评工作质量。</w:t>
      </w:r>
    </w:p>
    <w:p w14:paraId="781DC398">
      <w:pPr>
        <w:spacing w:line="360" w:lineRule="auto"/>
        <w:ind w:firstLine="424" w:firstLineChars="202"/>
        <w:rPr>
          <w:color w:val="auto"/>
          <w:highlight w:val="none"/>
        </w:rPr>
      </w:pPr>
      <w:r>
        <w:rPr>
          <w:rFonts w:hint="eastAsia"/>
          <w:color w:val="auto"/>
          <w:highlight w:val="none"/>
        </w:rPr>
        <w:t>8.2.6 按照协议要求提供技术服务和成果。</w:t>
      </w:r>
    </w:p>
    <w:p w14:paraId="0597CD83">
      <w:pPr>
        <w:spacing w:line="360" w:lineRule="auto"/>
        <w:ind w:firstLine="424" w:firstLineChars="202"/>
        <w:rPr>
          <w:color w:val="auto"/>
          <w:highlight w:val="none"/>
        </w:rPr>
      </w:pPr>
      <w:r>
        <w:rPr>
          <w:rFonts w:hint="eastAsia"/>
          <w:color w:val="auto"/>
          <w:highlight w:val="none"/>
        </w:rPr>
        <w:t>8.2.7 配合</w:t>
      </w:r>
      <w:r>
        <w:rPr>
          <w:rFonts w:hint="eastAsia"/>
          <w:color w:val="auto"/>
          <w:highlight w:val="none"/>
          <w:lang w:eastAsia="zh-CN"/>
        </w:rPr>
        <w:t>采购人</w:t>
      </w:r>
      <w:r>
        <w:rPr>
          <w:rFonts w:hint="eastAsia"/>
          <w:color w:val="auto"/>
          <w:highlight w:val="none"/>
        </w:rPr>
        <w:t>准备应急预案和实施过程中的紧急情况处理。</w:t>
      </w:r>
    </w:p>
    <w:p w14:paraId="4E826882">
      <w:pPr>
        <w:spacing w:line="360" w:lineRule="auto"/>
        <w:ind w:firstLine="424" w:firstLineChars="202"/>
        <w:rPr>
          <w:color w:val="auto"/>
          <w:highlight w:val="none"/>
        </w:rPr>
      </w:pPr>
      <w:r>
        <w:rPr>
          <w:rFonts w:hint="eastAsia"/>
          <w:color w:val="auto"/>
          <w:highlight w:val="none"/>
        </w:rPr>
        <w:t>8.2.8 按照等级保护2.0要求完成测评后，针对</w:t>
      </w:r>
      <w:r>
        <w:rPr>
          <w:rFonts w:hint="eastAsia"/>
          <w:color w:val="auto"/>
          <w:highlight w:val="none"/>
          <w:lang w:eastAsia="zh-CN"/>
        </w:rPr>
        <w:t>采购人</w:t>
      </w:r>
      <w:r>
        <w:rPr>
          <w:rFonts w:hint="eastAsia"/>
          <w:color w:val="auto"/>
          <w:highlight w:val="none"/>
        </w:rPr>
        <w:t>存在的问题给出有效、可行的解决建议。</w:t>
      </w:r>
    </w:p>
    <w:p w14:paraId="52FE2123">
      <w:pPr>
        <w:numPr>
          <w:ilvl w:val="0"/>
          <w:numId w:val="2"/>
        </w:numPr>
        <w:spacing w:before="234" w:beforeLines="75" w:line="360" w:lineRule="auto"/>
        <w:ind w:firstLine="420"/>
        <w:outlineLvl w:val="0"/>
        <w:rPr>
          <w:color w:val="auto"/>
          <w:sz w:val="24"/>
          <w:szCs w:val="24"/>
          <w:highlight w:val="none"/>
        </w:rPr>
      </w:pPr>
      <w:bookmarkStart w:id="51" w:name="_Toc19548"/>
      <w:r>
        <w:rPr>
          <w:rFonts w:hint="eastAsia"/>
          <w:color w:val="auto"/>
          <w:sz w:val="24"/>
          <w:szCs w:val="24"/>
          <w:highlight w:val="none"/>
        </w:rPr>
        <w:t>考核细则</w:t>
      </w:r>
      <w:bookmarkEnd w:id="47"/>
      <w:bookmarkEnd w:id="48"/>
      <w:bookmarkEnd w:id="49"/>
      <w:bookmarkEnd w:id="50"/>
      <w:bookmarkEnd w:id="51"/>
    </w:p>
    <w:p w14:paraId="4265786D">
      <w:pPr>
        <w:spacing w:line="360" w:lineRule="auto"/>
        <w:ind w:firstLine="424" w:firstLineChars="202"/>
        <w:rPr>
          <w:color w:val="auto"/>
          <w:highlight w:val="none"/>
        </w:rPr>
      </w:pPr>
      <w:r>
        <w:rPr>
          <w:rFonts w:hint="eastAsia"/>
          <w:color w:val="auto"/>
          <w:highlight w:val="none"/>
          <w:lang w:eastAsia="zh-CN"/>
        </w:rPr>
        <w:t>响应人</w:t>
      </w:r>
      <w:r>
        <w:rPr>
          <w:rFonts w:hint="eastAsia"/>
          <w:color w:val="auto"/>
          <w:highlight w:val="none"/>
        </w:rPr>
        <w:t>应认真按照有关标准、规范要求开展测评工作，随时接受</w:t>
      </w:r>
      <w:r>
        <w:rPr>
          <w:rFonts w:hint="eastAsia"/>
          <w:color w:val="auto"/>
          <w:highlight w:val="none"/>
          <w:lang w:eastAsia="zh-CN"/>
        </w:rPr>
        <w:t>采购人</w:t>
      </w:r>
      <w:r>
        <w:rPr>
          <w:rFonts w:hint="eastAsia"/>
          <w:color w:val="auto"/>
          <w:highlight w:val="none"/>
        </w:rPr>
        <w:t>代表的检查、整改，并根据实际情况，作好安全、质量、环境和进度管理，若有违反，</w:t>
      </w:r>
      <w:r>
        <w:rPr>
          <w:rFonts w:hint="eastAsia"/>
          <w:color w:val="auto"/>
          <w:highlight w:val="none"/>
          <w:lang w:eastAsia="zh-CN"/>
        </w:rPr>
        <w:t>采购人</w:t>
      </w:r>
      <w:r>
        <w:rPr>
          <w:rFonts w:hint="eastAsia"/>
          <w:color w:val="auto"/>
          <w:highlight w:val="none"/>
        </w:rPr>
        <w:t>将根据公司管理规定进行考核，包含但不仅限于：</w:t>
      </w:r>
    </w:p>
    <w:p w14:paraId="59796D1D">
      <w:pPr>
        <w:spacing w:line="360" w:lineRule="auto"/>
        <w:ind w:firstLine="424" w:firstLineChars="202"/>
        <w:rPr>
          <w:color w:val="auto"/>
          <w:highlight w:val="none"/>
        </w:rPr>
      </w:pPr>
      <w:r>
        <w:rPr>
          <w:rFonts w:hint="eastAsia"/>
          <w:color w:val="auto"/>
          <w:highlight w:val="none"/>
        </w:rPr>
        <w:t>（1）未按时完成测评方案，处罚责任单位500元/天。</w:t>
      </w:r>
    </w:p>
    <w:p w14:paraId="793730A8">
      <w:pPr>
        <w:spacing w:line="360" w:lineRule="auto"/>
        <w:ind w:firstLine="424" w:firstLineChars="202"/>
        <w:rPr>
          <w:color w:val="auto"/>
          <w:highlight w:val="none"/>
        </w:rPr>
      </w:pPr>
      <w:r>
        <w:rPr>
          <w:rFonts w:hint="eastAsia"/>
          <w:color w:val="auto"/>
          <w:highlight w:val="none"/>
        </w:rPr>
        <w:t>（2）未按时完成前期准备工作，处罚责任单位1000元/天。</w:t>
      </w:r>
    </w:p>
    <w:p w14:paraId="5ADEC6D9">
      <w:pPr>
        <w:spacing w:line="360" w:lineRule="auto"/>
        <w:ind w:firstLine="424" w:firstLineChars="202"/>
        <w:rPr>
          <w:color w:val="auto"/>
          <w:highlight w:val="none"/>
        </w:rPr>
      </w:pPr>
      <w:r>
        <w:rPr>
          <w:rFonts w:hint="eastAsia"/>
          <w:color w:val="auto"/>
          <w:highlight w:val="none"/>
        </w:rPr>
        <w:t>（3）未按时完成测评，处罚责任单位1000元/项/天。</w:t>
      </w:r>
    </w:p>
    <w:p w14:paraId="03DDA9AE">
      <w:pPr>
        <w:spacing w:line="360" w:lineRule="auto"/>
        <w:ind w:firstLine="424" w:firstLineChars="202"/>
        <w:rPr>
          <w:color w:val="auto"/>
          <w:highlight w:val="none"/>
        </w:rPr>
      </w:pPr>
      <w:r>
        <w:rPr>
          <w:rFonts w:hint="eastAsia"/>
          <w:color w:val="auto"/>
          <w:highlight w:val="none"/>
        </w:rPr>
        <w:t>（4）未按时提交测评结果、测评报告，处罚责任单位1000元/项/天。</w:t>
      </w:r>
    </w:p>
    <w:p w14:paraId="617B0261">
      <w:pPr>
        <w:spacing w:line="360" w:lineRule="auto"/>
        <w:ind w:firstLine="424" w:firstLineChars="202"/>
        <w:rPr>
          <w:color w:val="auto"/>
          <w:highlight w:val="none"/>
        </w:rPr>
      </w:pPr>
      <w:r>
        <w:rPr>
          <w:rFonts w:hint="eastAsia"/>
          <w:color w:val="auto"/>
          <w:highlight w:val="none"/>
        </w:rPr>
        <w:t>（5）</w:t>
      </w:r>
      <w:r>
        <w:rPr>
          <w:rFonts w:hint="eastAsia"/>
          <w:color w:val="auto"/>
          <w:highlight w:val="none"/>
          <w:lang w:eastAsia="zh-CN"/>
        </w:rPr>
        <w:t>响应人</w:t>
      </w:r>
      <w:r>
        <w:rPr>
          <w:rFonts w:hint="eastAsia"/>
          <w:color w:val="auto"/>
          <w:highlight w:val="none"/>
        </w:rPr>
        <w:t>工作严格按照</w:t>
      </w:r>
      <w:r>
        <w:rPr>
          <w:rFonts w:hint="eastAsia"/>
          <w:color w:val="auto"/>
          <w:highlight w:val="none"/>
          <w:lang w:eastAsia="zh-CN"/>
        </w:rPr>
        <w:t>采购人</w:t>
      </w:r>
      <w:r>
        <w:rPr>
          <w:rFonts w:hint="eastAsia"/>
          <w:color w:val="auto"/>
          <w:highlight w:val="none"/>
        </w:rPr>
        <w:t>规定履行职责，其余考核实施。</w:t>
      </w:r>
    </w:p>
    <w:p w14:paraId="0C1C114C">
      <w:pPr>
        <w:pStyle w:val="4"/>
        <w:jc w:val="both"/>
        <w:rPr>
          <w:color w:val="auto"/>
          <w:kern w:val="2"/>
          <w:sz w:val="28"/>
          <w:szCs w:val="28"/>
          <w:highlight w:val="none"/>
        </w:rPr>
      </w:pPr>
      <w:bookmarkStart w:id="52" w:name="_Toc15926"/>
      <w:bookmarkStart w:id="53" w:name="_Toc17397"/>
      <w:r>
        <w:rPr>
          <w:rFonts w:hint="eastAsia"/>
          <w:color w:val="auto"/>
          <w:kern w:val="2"/>
          <w:sz w:val="28"/>
          <w:szCs w:val="28"/>
          <w:highlight w:val="none"/>
          <w:lang w:val="zh-CN"/>
        </w:rPr>
        <w:t>附件</w:t>
      </w:r>
      <w:r>
        <w:rPr>
          <w:rFonts w:hint="eastAsia"/>
          <w:color w:val="auto"/>
          <w:kern w:val="2"/>
          <w:sz w:val="28"/>
          <w:szCs w:val="28"/>
          <w:highlight w:val="none"/>
        </w:rPr>
        <w:t>一</w:t>
      </w:r>
      <w:r>
        <w:rPr>
          <w:rFonts w:hint="eastAsia"/>
          <w:color w:val="auto"/>
          <w:kern w:val="2"/>
          <w:sz w:val="28"/>
          <w:szCs w:val="28"/>
          <w:highlight w:val="none"/>
          <w:lang w:val="zh-CN"/>
        </w:rPr>
        <w:t xml:space="preserve"> 、差异表（仅允许正偏差、</w:t>
      </w:r>
      <w:r>
        <w:rPr>
          <w:rFonts w:hint="eastAsia"/>
          <w:b w:val="0"/>
          <w:bCs w:val="0"/>
          <w:color w:val="auto"/>
          <w:kern w:val="2"/>
          <w:sz w:val="24"/>
          <w:szCs w:val="24"/>
          <w:highlight w:val="none"/>
          <w:lang w:val="zh-CN"/>
        </w:rPr>
        <w:t>响应人填写</w:t>
      </w:r>
      <w:r>
        <w:rPr>
          <w:rFonts w:hint="eastAsia"/>
          <w:color w:val="auto"/>
          <w:kern w:val="2"/>
          <w:sz w:val="28"/>
          <w:szCs w:val="28"/>
          <w:highlight w:val="none"/>
          <w:lang w:val="zh-CN"/>
        </w:rPr>
        <w:t>）</w:t>
      </w:r>
      <w:bookmarkEnd w:id="52"/>
      <w:bookmarkEnd w:id="53"/>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6"/>
        <w:gridCol w:w="3322"/>
        <w:gridCol w:w="876"/>
        <w:gridCol w:w="3230"/>
      </w:tblGrid>
      <w:tr w14:paraId="609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76" w:type="dxa"/>
            <w:vMerge w:val="restart"/>
            <w:vAlign w:val="center"/>
          </w:tcPr>
          <w:p w14:paraId="3F40B679">
            <w:pPr>
              <w:pStyle w:val="21"/>
              <w:autoSpaceDE w:val="0"/>
              <w:autoSpaceDN w:val="0"/>
              <w:spacing w:before="180"/>
              <w:textAlignment w:val="bottom"/>
              <w:rPr>
                <w:rFonts w:hint="eastAsia" w:hAnsi="宋体"/>
                <w:b/>
                <w:color w:val="auto"/>
                <w:szCs w:val="21"/>
                <w:highlight w:val="none"/>
              </w:rPr>
            </w:pPr>
            <w:r>
              <w:rPr>
                <w:rFonts w:hint="eastAsia" w:hAnsi="宋体"/>
                <w:b/>
                <w:color w:val="auto"/>
                <w:szCs w:val="21"/>
                <w:highlight w:val="none"/>
              </w:rPr>
              <w:t>序号</w:t>
            </w:r>
          </w:p>
        </w:tc>
        <w:tc>
          <w:tcPr>
            <w:tcW w:w="4198" w:type="dxa"/>
            <w:gridSpan w:val="2"/>
            <w:vAlign w:val="center"/>
          </w:tcPr>
          <w:p w14:paraId="2BA6B5F5">
            <w:pPr>
              <w:pStyle w:val="21"/>
              <w:autoSpaceDE w:val="0"/>
              <w:autoSpaceDN w:val="0"/>
              <w:spacing w:before="180"/>
              <w:textAlignment w:val="bottom"/>
              <w:rPr>
                <w:rFonts w:hint="eastAsia" w:hAnsi="宋体"/>
                <w:b/>
                <w:color w:val="auto"/>
                <w:szCs w:val="21"/>
                <w:highlight w:val="none"/>
              </w:rPr>
            </w:pPr>
            <w:r>
              <w:rPr>
                <w:rFonts w:hint="eastAsia" w:hAnsi="宋体"/>
                <w:b/>
                <w:color w:val="auto"/>
                <w:szCs w:val="21"/>
                <w:highlight w:val="none"/>
              </w:rPr>
              <w:t>询价文件</w:t>
            </w:r>
          </w:p>
        </w:tc>
        <w:tc>
          <w:tcPr>
            <w:tcW w:w="4106" w:type="dxa"/>
            <w:gridSpan w:val="2"/>
            <w:vAlign w:val="center"/>
          </w:tcPr>
          <w:p w14:paraId="2E8F931A">
            <w:pPr>
              <w:pStyle w:val="21"/>
              <w:autoSpaceDE w:val="0"/>
              <w:autoSpaceDN w:val="0"/>
              <w:spacing w:before="180"/>
              <w:textAlignment w:val="bottom"/>
              <w:rPr>
                <w:rFonts w:hint="eastAsia" w:hAnsi="宋体"/>
                <w:b/>
                <w:color w:val="auto"/>
                <w:szCs w:val="21"/>
                <w:highlight w:val="none"/>
              </w:rPr>
            </w:pPr>
            <w:r>
              <w:rPr>
                <w:rFonts w:hint="eastAsia" w:hAnsi="宋体"/>
                <w:b/>
                <w:color w:val="auto"/>
                <w:szCs w:val="21"/>
                <w:highlight w:val="none"/>
              </w:rPr>
              <w:t>应价文件</w:t>
            </w:r>
          </w:p>
        </w:tc>
      </w:tr>
      <w:tr w14:paraId="6F64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76" w:type="dxa"/>
            <w:vMerge w:val="continue"/>
            <w:vAlign w:val="center"/>
          </w:tcPr>
          <w:p w14:paraId="2A50C97E">
            <w:pPr>
              <w:pStyle w:val="21"/>
              <w:autoSpaceDE w:val="0"/>
              <w:autoSpaceDN w:val="0"/>
              <w:spacing w:before="180"/>
              <w:textAlignment w:val="bottom"/>
              <w:rPr>
                <w:rFonts w:hint="eastAsia" w:hAnsi="宋体"/>
                <w:b/>
                <w:color w:val="auto"/>
                <w:szCs w:val="21"/>
                <w:highlight w:val="none"/>
              </w:rPr>
            </w:pPr>
          </w:p>
        </w:tc>
        <w:tc>
          <w:tcPr>
            <w:tcW w:w="876" w:type="dxa"/>
            <w:vAlign w:val="center"/>
          </w:tcPr>
          <w:p w14:paraId="34E835DF">
            <w:pPr>
              <w:pStyle w:val="21"/>
              <w:autoSpaceDE w:val="0"/>
              <w:autoSpaceDN w:val="0"/>
              <w:spacing w:before="180"/>
              <w:textAlignment w:val="bottom"/>
              <w:rPr>
                <w:rFonts w:hint="eastAsia" w:hAnsi="宋体"/>
                <w:b/>
                <w:color w:val="auto"/>
                <w:szCs w:val="21"/>
                <w:highlight w:val="none"/>
              </w:rPr>
            </w:pPr>
            <w:r>
              <w:rPr>
                <w:rFonts w:hint="eastAsia" w:hAnsi="宋体"/>
                <w:b/>
                <w:color w:val="auto"/>
                <w:szCs w:val="21"/>
                <w:highlight w:val="none"/>
              </w:rPr>
              <w:t>条目</w:t>
            </w:r>
          </w:p>
        </w:tc>
        <w:tc>
          <w:tcPr>
            <w:tcW w:w="3322" w:type="dxa"/>
            <w:vAlign w:val="center"/>
          </w:tcPr>
          <w:p w14:paraId="31712AB4">
            <w:pPr>
              <w:pStyle w:val="21"/>
              <w:autoSpaceDE w:val="0"/>
              <w:autoSpaceDN w:val="0"/>
              <w:spacing w:before="180"/>
              <w:textAlignment w:val="bottom"/>
              <w:rPr>
                <w:rFonts w:hint="eastAsia" w:hAnsi="宋体"/>
                <w:b/>
                <w:color w:val="auto"/>
                <w:szCs w:val="21"/>
                <w:highlight w:val="none"/>
              </w:rPr>
            </w:pPr>
            <w:r>
              <w:rPr>
                <w:rFonts w:hint="eastAsia" w:hAnsi="宋体"/>
                <w:b/>
                <w:color w:val="auto"/>
                <w:szCs w:val="21"/>
                <w:highlight w:val="none"/>
              </w:rPr>
              <w:t>简要内容</w:t>
            </w:r>
          </w:p>
        </w:tc>
        <w:tc>
          <w:tcPr>
            <w:tcW w:w="876" w:type="dxa"/>
            <w:vAlign w:val="center"/>
          </w:tcPr>
          <w:p w14:paraId="54F779FD">
            <w:pPr>
              <w:pStyle w:val="21"/>
              <w:autoSpaceDE w:val="0"/>
              <w:autoSpaceDN w:val="0"/>
              <w:spacing w:before="180"/>
              <w:textAlignment w:val="bottom"/>
              <w:rPr>
                <w:rFonts w:hint="eastAsia" w:hAnsi="宋体"/>
                <w:b/>
                <w:color w:val="auto"/>
                <w:szCs w:val="21"/>
                <w:highlight w:val="none"/>
              </w:rPr>
            </w:pPr>
            <w:r>
              <w:rPr>
                <w:rFonts w:hint="eastAsia" w:hAnsi="宋体"/>
                <w:b/>
                <w:color w:val="auto"/>
                <w:szCs w:val="21"/>
                <w:highlight w:val="none"/>
              </w:rPr>
              <w:t>条目</w:t>
            </w:r>
          </w:p>
        </w:tc>
        <w:tc>
          <w:tcPr>
            <w:tcW w:w="3230" w:type="dxa"/>
            <w:vAlign w:val="center"/>
          </w:tcPr>
          <w:p w14:paraId="7FD17A24">
            <w:pPr>
              <w:pStyle w:val="21"/>
              <w:autoSpaceDE w:val="0"/>
              <w:autoSpaceDN w:val="0"/>
              <w:spacing w:before="180"/>
              <w:textAlignment w:val="bottom"/>
              <w:rPr>
                <w:rFonts w:hint="eastAsia" w:hAnsi="宋体"/>
                <w:b/>
                <w:color w:val="auto"/>
                <w:szCs w:val="21"/>
                <w:highlight w:val="none"/>
              </w:rPr>
            </w:pPr>
            <w:r>
              <w:rPr>
                <w:rFonts w:hint="eastAsia" w:hAnsi="宋体"/>
                <w:b/>
                <w:color w:val="auto"/>
                <w:szCs w:val="21"/>
                <w:highlight w:val="none"/>
              </w:rPr>
              <w:t>简要内容</w:t>
            </w:r>
          </w:p>
        </w:tc>
      </w:tr>
      <w:tr w14:paraId="51FD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493533A">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876" w:type="dxa"/>
            <w:vAlign w:val="center"/>
          </w:tcPr>
          <w:p w14:paraId="6A0D1C02">
            <w:pPr>
              <w:spacing w:line="360" w:lineRule="auto"/>
              <w:jc w:val="center"/>
              <w:rPr>
                <w:rFonts w:hint="eastAsia" w:ascii="宋体" w:hAnsi="宋体"/>
                <w:color w:val="auto"/>
                <w:szCs w:val="21"/>
                <w:highlight w:val="none"/>
              </w:rPr>
            </w:pPr>
          </w:p>
        </w:tc>
        <w:tc>
          <w:tcPr>
            <w:tcW w:w="3322" w:type="dxa"/>
            <w:vAlign w:val="center"/>
          </w:tcPr>
          <w:p w14:paraId="4B496C6B">
            <w:pPr>
              <w:spacing w:line="360" w:lineRule="auto"/>
              <w:jc w:val="center"/>
              <w:rPr>
                <w:rFonts w:hint="eastAsia" w:ascii="宋体" w:hAnsi="宋体"/>
                <w:color w:val="auto"/>
                <w:szCs w:val="21"/>
                <w:highlight w:val="none"/>
              </w:rPr>
            </w:pPr>
          </w:p>
        </w:tc>
        <w:tc>
          <w:tcPr>
            <w:tcW w:w="876" w:type="dxa"/>
            <w:vAlign w:val="center"/>
          </w:tcPr>
          <w:p w14:paraId="16DCFD29">
            <w:pPr>
              <w:spacing w:line="360" w:lineRule="auto"/>
              <w:jc w:val="center"/>
              <w:rPr>
                <w:rFonts w:hint="eastAsia" w:ascii="宋体" w:hAnsi="宋体"/>
                <w:color w:val="auto"/>
                <w:szCs w:val="21"/>
                <w:highlight w:val="none"/>
              </w:rPr>
            </w:pPr>
          </w:p>
        </w:tc>
        <w:tc>
          <w:tcPr>
            <w:tcW w:w="3230" w:type="dxa"/>
            <w:vAlign w:val="center"/>
          </w:tcPr>
          <w:p w14:paraId="7EDCFD27">
            <w:pPr>
              <w:spacing w:line="360" w:lineRule="auto"/>
              <w:jc w:val="center"/>
              <w:rPr>
                <w:rFonts w:hint="eastAsia" w:ascii="宋体" w:hAnsi="宋体"/>
                <w:color w:val="auto"/>
                <w:szCs w:val="21"/>
                <w:highlight w:val="none"/>
              </w:rPr>
            </w:pPr>
          </w:p>
        </w:tc>
      </w:tr>
      <w:tr w14:paraId="7443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53C806">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876" w:type="dxa"/>
            <w:vAlign w:val="center"/>
          </w:tcPr>
          <w:p w14:paraId="5495ED79">
            <w:pPr>
              <w:spacing w:line="360" w:lineRule="auto"/>
              <w:jc w:val="center"/>
              <w:rPr>
                <w:rFonts w:hint="eastAsia" w:ascii="宋体" w:hAnsi="宋体"/>
                <w:color w:val="auto"/>
                <w:szCs w:val="21"/>
                <w:highlight w:val="none"/>
              </w:rPr>
            </w:pPr>
          </w:p>
        </w:tc>
        <w:tc>
          <w:tcPr>
            <w:tcW w:w="3322" w:type="dxa"/>
            <w:vAlign w:val="center"/>
          </w:tcPr>
          <w:p w14:paraId="2A4DCA95">
            <w:pPr>
              <w:spacing w:line="360" w:lineRule="auto"/>
              <w:jc w:val="center"/>
              <w:rPr>
                <w:rFonts w:hint="eastAsia" w:ascii="宋体" w:hAnsi="宋体"/>
                <w:color w:val="auto"/>
                <w:szCs w:val="21"/>
                <w:highlight w:val="none"/>
              </w:rPr>
            </w:pPr>
          </w:p>
        </w:tc>
        <w:tc>
          <w:tcPr>
            <w:tcW w:w="876" w:type="dxa"/>
            <w:vAlign w:val="center"/>
          </w:tcPr>
          <w:p w14:paraId="66E8D93A">
            <w:pPr>
              <w:spacing w:line="360" w:lineRule="auto"/>
              <w:jc w:val="center"/>
              <w:rPr>
                <w:rFonts w:hint="eastAsia" w:ascii="宋体" w:hAnsi="宋体"/>
                <w:color w:val="auto"/>
                <w:szCs w:val="21"/>
                <w:highlight w:val="none"/>
              </w:rPr>
            </w:pPr>
          </w:p>
        </w:tc>
        <w:tc>
          <w:tcPr>
            <w:tcW w:w="3230" w:type="dxa"/>
            <w:vAlign w:val="center"/>
          </w:tcPr>
          <w:p w14:paraId="6035C618">
            <w:pPr>
              <w:spacing w:line="360" w:lineRule="auto"/>
              <w:jc w:val="center"/>
              <w:rPr>
                <w:rFonts w:hint="eastAsia" w:ascii="宋体" w:hAnsi="宋体"/>
                <w:color w:val="auto"/>
                <w:szCs w:val="21"/>
                <w:highlight w:val="none"/>
              </w:rPr>
            </w:pPr>
          </w:p>
        </w:tc>
      </w:tr>
      <w:tr w14:paraId="6974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99FCF93">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876" w:type="dxa"/>
            <w:vAlign w:val="center"/>
          </w:tcPr>
          <w:p w14:paraId="34AAA0BA">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3322" w:type="dxa"/>
            <w:vAlign w:val="center"/>
          </w:tcPr>
          <w:p w14:paraId="4E609827">
            <w:pPr>
              <w:spacing w:line="360" w:lineRule="auto"/>
              <w:jc w:val="center"/>
              <w:rPr>
                <w:rFonts w:hint="eastAsia" w:ascii="宋体" w:hAnsi="宋体"/>
                <w:color w:val="auto"/>
                <w:szCs w:val="21"/>
                <w:highlight w:val="none"/>
              </w:rPr>
            </w:pPr>
          </w:p>
        </w:tc>
        <w:tc>
          <w:tcPr>
            <w:tcW w:w="876" w:type="dxa"/>
            <w:vAlign w:val="center"/>
          </w:tcPr>
          <w:p w14:paraId="739940B3">
            <w:pPr>
              <w:spacing w:line="360" w:lineRule="auto"/>
              <w:jc w:val="center"/>
              <w:rPr>
                <w:rFonts w:hint="eastAsia" w:ascii="宋体" w:hAnsi="宋体"/>
                <w:color w:val="auto"/>
                <w:szCs w:val="21"/>
                <w:highlight w:val="none"/>
              </w:rPr>
            </w:pPr>
          </w:p>
        </w:tc>
        <w:tc>
          <w:tcPr>
            <w:tcW w:w="3230" w:type="dxa"/>
            <w:vAlign w:val="center"/>
          </w:tcPr>
          <w:p w14:paraId="22BEE7EF">
            <w:pPr>
              <w:spacing w:line="360" w:lineRule="auto"/>
              <w:jc w:val="center"/>
              <w:rPr>
                <w:rFonts w:hint="eastAsia" w:ascii="宋体" w:hAnsi="宋体"/>
                <w:color w:val="auto"/>
                <w:szCs w:val="21"/>
                <w:highlight w:val="none"/>
              </w:rPr>
            </w:pPr>
          </w:p>
        </w:tc>
      </w:tr>
    </w:tbl>
    <w:p w14:paraId="08B87EBF">
      <w:pPr>
        <w:rPr>
          <w:color w:val="auto"/>
          <w:highlight w:val="none"/>
        </w:rPr>
      </w:pPr>
    </w:p>
    <w:bookmarkEnd w:id="54"/>
    <w:sectPr>
      <w:footerReference r:id="rId8" w:type="default"/>
      <w:headerReference r:id="rId7" w:type="even"/>
      <w:pgSz w:w="11906" w:h="16838"/>
      <w:pgMar w:top="1418" w:right="1678" w:bottom="1418" w:left="1298" w:header="851" w:footer="992" w:gutter="0"/>
      <w:pgNumType w:start="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22BF">
    <w:pPr>
      <w:pStyle w:val="7"/>
      <w:framePr w:wrap="around" w:vAnchor="text" w:hAnchor="margin" w:xAlign="center" w:y="1"/>
      <w:rPr>
        <w:rStyle w:val="15"/>
      </w:rPr>
    </w:pPr>
    <w:r>
      <w:rPr>
        <w:rStyle w:val="15"/>
        <w:rFonts w:hint="eastAsia"/>
      </w:rPr>
      <w:t>第</w:t>
    </w:r>
    <w:r>
      <w:fldChar w:fldCharType="begin"/>
    </w:r>
    <w:r>
      <w:rPr>
        <w:rStyle w:val="15"/>
      </w:rPr>
      <w:instrText xml:space="preserve">PAGE  </w:instrText>
    </w:r>
    <w:r>
      <w:fldChar w:fldCharType="separate"/>
    </w:r>
    <w:r>
      <w:rPr>
        <w:rStyle w:val="15"/>
      </w:rPr>
      <w:t>1</w:t>
    </w:r>
    <w:r>
      <w:fldChar w:fldCharType="end"/>
    </w:r>
    <w:r>
      <w:rPr>
        <w:rStyle w:val="15"/>
        <w:rFonts w:hint="eastAsia"/>
      </w:rPr>
      <w:t>页共10页</w:t>
    </w:r>
  </w:p>
  <w:p w14:paraId="18621FF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9518">
    <w:pPr>
      <w:pStyle w:val="7"/>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5035E48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CE5F">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13</w:t>
    </w:r>
    <w:r>
      <w:rPr>
        <w:rStyle w:val="15"/>
      </w:rPr>
      <w:fldChar w:fldCharType="end"/>
    </w:r>
  </w:p>
  <w:p w14:paraId="6992DA0E">
    <w:pPr>
      <w:pStyle w:val="7"/>
      <w:jc w:val="center"/>
    </w:pPr>
    <w:r>
      <w:rPr>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1509">
    <w:pPr>
      <w:pStyle w:val="8"/>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BB88">
    <w:pPr>
      <w:pStyle w:val="8"/>
      <w:pBdr>
        <w:bottom w:val="none" w:color="auto" w:sz="0" w:space="2"/>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D8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E0C58"/>
    <w:multiLevelType w:val="singleLevel"/>
    <w:tmpl w:val="067E0C58"/>
    <w:lvl w:ilvl="0" w:tentative="0">
      <w:start w:val="1"/>
      <w:numFmt w:val="decimal"/>
      <w:suff w:val="nothing"/>
      <w:lvlText w:val="%1．"/>
      <w:lvlJc w:val="left"/>
      <w:pPr>
        <w:ind w:left="-420" w:firstLine="40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84"/>
    <w:rsid w:val="002D26B4"/>
    <w:rsid w:val="00301F4C"/>
    <w:rsid w:val="00317F19"/>
    <w:rsid w:val="00336663"/>
    <w:rsid w:val="003407C2"/>
    <w:rsid w:val="003B2E04"/>
    <w:rsid w:val="0042048E"/>
    <w:rsid w:val="00463112"/>
    <w:rsid w:val="00484F83"/>
    <w:rsid w:val="00586062"/>
    <w:rsid w:val="006F575E"/>
    <w:rsid w:val="00940B22"/>
    <w:rsid w:val="00AE4A84"/>
    <w:rsid w:val="00B010AA"/>
    <w:rsid w:val="00C6562C"/>
    <w:rsid w:val="00E26E3F"/>
    <w:rsid w:val="00E62D8D"/>
    <w:rsid w:val="00EA1020"/>
    <w:rsid w:val="023470AD"/>
    <w:rsid w:val="03C661BF"/>
    <w:rsid w:val="04937E91"/>
    <w:rsid w:val="06230B53"/>
    <w:rsid w:val="06942E5A"/>
    <w:rsid w:val="09B4543A"/>
    <w:rsid w:val="09C30A93"/>
    <w:rsid w:val="0B01254B"/>
    <w:rsid w:val="0B6C26D6"/>
    <w:rsid w:val="0C452D30"/>
    <w:rsid w:val="0CCF7D10"/>
    <w:rsid w:val="0D006EF2"/>
    <w:rsid w:val="103C4B2F"/>
    <w:rsid w:val="189A336A"/>
    <w:rsid w:val="19A70024"/>
    <w:rsid w:val="19D368EA"/>
    <w:rsid w:val="19FE5368"/>
    <w:rsid w:val="1C4B0278"/>
    <w:rsid w:val="1FE97428"/>
    <w:rsid w:val="23B76226"/>
    <w:rsid w:val="24497D13"/>
    <w:rsid w:val="24825957"/>
    <w:rsid w:val="24F53AE3"/>
    <w:rsid w:val="25A81769"/>
    <w:rsid w:val="267970AE"/>
    <w:rsid w:val="26AB74FD"/>
    <w:rsid w:val="273305CE"/>
    <w:rsid w:val="28E47DDA"/>
    <w:rsid w:val="29AB60B1"/>
    <w:rsid w:val="2B424A89"/>
    <w:rsid w:val="2BD716F9"/>
    <w:rsid w:val="2EA3508F"/>
    <w:rsid w:val="30F1625D"/>
    <w:rsid w:val="316A5C6B"/>
    <w:rsid w:val="331E1E0B"/>
    <w:rsid w:val="343B766F"/>
    <w:rsid w:val="34407A51"/>
    <w:rsid w:val="34B02E9D"/>
    <w:rsid w:val="38520B01"/>
    <w:rsid w:val="389C366B"/>
    <w:rsid w:val="3935166B"/>
    <w:rsid w:val="395D152B"/>
    <w:rsid w:val="3DB21145"/>
    <w:rsid w:val="3F9B22EA"/>
    <w:rsid w:val="40FA1EA6"/>
    <w:rsid w:val="4216717B"/>
    <w:rsid w:val="45300692"/>
    <w:rsid w:val="47927E7C"/>
    <w:rsid w:val="47C118C5"/>
    <w:rsid w:val="48A80DDE"/>
    <w:rsid w:val="497C4A91"/>
    <w:rsid w:val="4B807113"/>
    <w:rsid w:val="4D9A571C"/>
    <w:rsid w:val="4DA91C75"/>
    <w:rsid w:val="4F0A2B2E"/>
    <w:rsid w:val="54EC6A5F"/>
    <w:rsid w:val="56061548"/>
    <w:rsid w:val="571D387C"/>
    <w:rsid w:val="58021570"/>
    <w:rsid w:val="5D3F47B9"/>
    <w:rsid w:val="6046255B"/>
    <w:rsid w:val="606E63ED"/>
    <w:rsid w:val="653D1756"/>
    <w:rsid w:val="65931931"/>
    <w:rsid w:val="65F63BD4"/>
    <w:rsid w:val="66127C81"/>
    <w:rsid w:val="66C45526"/>
    <w:rsid w:val="66FA4D03"/>
    <w:rsid w:val="6A2577BA"/>
    <w:rsid w:val="72A05F5D"/>
    <w:rsid w:val="75FB5D57"/>
    <w:rsid w:val="79371BBA"/>
    <w:rsid w:val="79830A68"/>
    <w:rsid w:val="798A717A"/>
    <w:rsid w:val="79D21E6C"/>
    <w:rsid w:val="7A9A6032"/>
    <w:rsid w:val="BFEF5A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spacing w:line="360" w:lineRule="auto"/>
      <w:ind w:left="0" w:leftChars="0"/>
    </w:pPr>
    <w:rPr>
      <w:rFonts w:eastAsia="黑体"/>
      <w:sz w:val="24"/>
      <w:szCs w:val="20"/>
    </w:rPr>
  </w:style>
  <w:style w:type="paragraph" w:styleId="3">
    <w:name w:val="Date"/>
    <w:basedOn w:val="1"/>
    <w:next w:val="1"/>
    <w:qFormat/>
    <w:uiPriority w:val="0"/>
    <w:pPr>
      <w:ind w:left="100" w:leftChars="2500"/>
    </w:pPr>
  </w:style>
  <w:style w:type="paragraph" w:styleId="6">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7">
    <w:name w:val="footer"/>
    <w:basedOn w:val="1"/>
    <w:unhideWhenUsed/>
    <w:qFormat/>
    <w:uiPriority w:val="0"/>
    <w:pPr>
      <w:tabs>
        <w:tab w:val="center" w:pos="4153"/>
        <w:tab w:val="right" w:pos="8306"/>
      </w:tabs>
      <w:snapToGrid w:val="0"/>
      <w:jc w:val="left"/>
    </w:pPr>
    <w:rPr>
      <w:rFonts w:ascii="Times New Roman" w:hAnsi="Times New Roman" w:eastAsia="Times New Roman"/>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Times New Roman"/>
      <w:sz w:val="18"/>
      <w:szCs w:val="18"/>
    </w:rPr>
  </w:style>
  <w:style w:type="paragraph" w:styleId="9">
    <w:name w:val="toc 1"/>
    <w:basedOn w:val="1"/>
    <w:next w:val="1"/>
    <w:qFormat/>
    <w:uiPriority w:val="39"/>
  </w:style>
  <w:style w:type="paragraph" w:styleId="10">
    <w:name w:val="toc 2"/>
    <w:basedOn w:val="1"/>
    <w:next w:val="1"/>
    <w:semiHidden/>
    <w:qFormat/>
    <w:uiPriority w:val="0"/>
    <w:pPr>
      <w:snapToGrid w:val="0"/>
      <w:spacing w:before="156" w:after="156"/>
      <w:outlineLvl w:val="0"/>
    </w:pPr>
    <w:rPr>
      <w:rFonts w:ascii="仿宋_GB2312" w:hAnsi="Times New Roman" w:eastAsia="仿宋_GB2312"/>
      <w:b/>
      <w:snapToGrid w:val="0"/>
      <w:kern w:val="0"/>
      <w:sz w:val="28"/>
      <w:szCs w:val="28"/>
    </w:rPr>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paragraph" w:customStyle="1" w:styleId="17">
    <w:name w:val="标题 5（有编号）（绿盟科技）"/>
    <w:basedOn w:val="1"/>
    <w:next w:val="1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table" w:customStyle="1" w:styleId="19">
    <w:name w:val="网格型2"/>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4599</Words>
  <Characters>4971</Characters>
  <Lines>49</Lines>
  <Paragraphs>14</Paragraphs>
  <TotalTime>10</TotalTime>
  <ScaleCrop>false</ScaleCrop>
  <LinksUpToDate>false</LinksUpToDate>
  <CharactersWithSpaces>5062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2025-05-06T19:02:00Z</dcterms:created>
  <dc:creator>DELL</dc:creator>
  <cp:lastModifiedBy>刘继行</cp:lastModifiedBy>
  <dcterms:modified xsi:type="dcterms:W3CDTF">2026-02-11T06:46:11Z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B6D2998FF0DCA2CC88FB7A6945F6DBEB_43</vt:lpwstr>
  </property>
  <property fmtid="{D5CDD505-2E9C-101B-9397-08002B2CF9AE}" pid="4" name="KSOTemplateDocerSaveRecord">
    <vt:lpwstr>eyJoZGlkIjoiYzI3MGUyNjNlZjJmODVhN2U3MmNhMDYzNDAyNDNhZjciLCJ1c2VySWQiOiIxNzk4ODkwNjQwIn0=</vt:lpwstr>
  </property>
</Properties>
</file>